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371F" w:rsidRDefault="002A371F" w:rsidP="00FC4162">
      <w:pPr>
        <w:pStyle w:val="Header"/>
        <w:tabs>
          <w:tab w:val="clear" w:pos="9639"/>
          <w:tab w:val="right" w:pos="5954"/>
        </w:tabs>
        <w:jc w:val="right"/>
        <w:rPr>
          <w:rFonts w:ascii="Calibri" w:hAnsi="Calibri" w:cs="Calibri"/>
          <w:lang w:val="en-GB"/>
        </w:rPr>
      </w:pPr>
      <w:r>
        <w:rPr>
          <w:rFonts w:ascii="Calibri" w:hAnsi="Calibri" w:cs="Calibri"/>
          <w:lang w:val="en-GB"/>
        </w:rPr>
        <w:t>ENAV21-4.7.1</w:t>
      </w:r>
    </w:p>
    <w:p w:rsidR="00FC4162" w:rsidRPr="007A6E6E" w:rsidRDefault="002A371F" w:rsidP="00FC4162">
      <w:pPr>
        <w:pStyle w:val="Header"/>
        <w:tabs>
          <w:tab w:val="clear" w:pos="9639"/>
          <w:tab w:val="right" w:pos="5954"/>
        </w:tabs>
        <w:jc w:val="right"/>
        <w:rPr>
          <w:rFonts w:ascii="Calibri" w:hAnsi="Calibri" w:cs="Calibri"/>
          <w:sz w:val="16"/>
          <w:szCs w:val="16"/>
          <w:lang w:val="en-GB"/>
        </w:rPr>
      </w:pPr>
      <w:r>
        <w:rPr>
          <w:rFonts w:ascii="Calibri" w:hAnsi="Calibri" w:cs="Calibri"/>
          <w:lang w:val="en-GB"/>
        </w:rPr>
        <w:t xml:space="preserve"> Formerly </w:t>
      </w:r>
      <w:r w:rsidR="007A6E6E">
        <w:rPr>
          <w:rFonts w:ascii="Calibri" w:hAnsi="Calibri" w:cs="Calibri"/>
          <w:lang w:val="en-GB"/>
        </w:rPr>
        <w:t>LAP18-22.3</w:t>
      </w:r>
      <w:bookmarkStart w:id="0" w:name="_GoBack"/>
      <w:bookmarkEnd w:id="0"/>
      <w:r w:rsidR="00A27AE7" w:rsidRPr="007A6E6E">
        <w:rPr>
          <w:rFonts w:ascii="Calibri" w:hAnsi="Calibri" w:cs="Calibri"/>
          <w:noProof/>
          <w:sz w:val="16"/>
          <w:szCs w:val="16"/>
          <w:lang w:val="en-IE" w:eastAsia="en-IE"/>
        </w:rPr>
        <w:drawing>
          <wp:anchor distT="0" distB="0" distL="114300" distR="114300" simplePos="0" relativeHeight="251658240" behindDoc="0" locked="0" layoutInCell="1" allowOverlap="1" wp14:anchorId="655114DD" wp14:editId="729A3F45">
            <wp:simplePos x="0" y="0"/>
            <wp:positionH relativeFrom="column">
              <wp:posOffset>2743200</wp:posOffset>
            </wp:positionH>
            <wp:positionV relativeFrom="paragraph">
              <wp:posOffset>-226695</wp:posOffset>
            </wp:positionV>
            <wp:extent cx="630936" cy="658368"/>
            <wp:effectExtent l="0" t="0" r="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 2.jpg"/>
                    <pic:cNvPicPr/>
                  </pic:nvPicPr>
                  <pic:blipFill>
                    <a:blip r:embed="rId8">
                      <a:extLst>
                        <a:ext uri="{28A0092B-C50C-407E-A947-70E740481C1C}">
                          <a14:useLocalDpi xmlns:a14="http://schemas.microsoft.com/office/drawing/2010/main" val="0"/>
                        </a:ext>
                      </a:extLst>
                    </a:blip>
                    <a:stretch>
                      <a:fillRect/>
                    </a:stretch>
                  </pic:blipFill>
                  <pic:spPr>
                    <a:xfrm>
                      <a:off x="0" y="0"/>
                      <a:ext cx="630936" cy="658368"/>
                    </a:xfrm>
                    <a:prstGeom prst="rect">
                      <a:avLst/>
                    </a:prstGeom>
                  </pic:spPr>
                </pic:pic>
              </a:graphicData>
            </a:graphic>
            <wp14:sizeRelH relativeFrom="margin">
              <wp14:pctWidth>0</wp14:pctWidth>
            </wp14:sizeRelH>
            <wp14:sizeRelV relativeFrom="margin">
              <wp14:pctHeight>0</wp14:pctHeight>
            </wp14:sizeRelV>
          </wp:anchor>
        </w:drawing>
      </w:r>
    </w:p>
    <w:p w:rsidR="00FE35BC" w:rsidRPr="00FC4162" w:rsidRDefault="00FE35BC" w:rsidP="000049D8">
      <w:pPr>
        <w:pStyle w:val="Header"/>
        <w:tabs>
          <w:tab w:val="clear" w:pos="9639"/>
          <w:tab w:val="right" w:pos="5954"/>
        </w:tabs>
        <w:spacing w:after="240"/>
        <w:jc w:val="right"/>
        <w:rPr>
          <w:rFonts w:ascii="Calibri" w:hAnsi="Calibri" w:cs="Calibri"/>
          <w:sz w:val="16"/>
          <w:szCs w:val="16"/>
          <w:lang w:val="en-GB"/>
        </w:rPr>
      </w:pPr>
    </w:p>
    <w:p w:rsidR="00FE35BC" w:rsidRPr="004800A2" w:rsidRDefault="00FE35BC" w:rsidP="00FE5674">
      <w:pPr>
        <w:pStyle w:val="BodyText"/>
        <w:tabs>
          <w:tab w:val="left" w:pos="2835"/>
        </w:tabs>
        <w:rPr>
          <w:rFonts w:ascii="Calibri" w:hAnsi="Calibri" w:cs="Calibri"/>
          <w:lang w:val="en-GB"/>
        </w:rPr>
      </w:pPr>
    </w:p>
    <w:p w:rsidR="00FE35BC" w:rsidRPr="004800A2" w:rsidRDefault="00FE35BC" w:rsidP="00FE5674">
      <w:pPr>
        <w:pStyle w:val="BodyText"/>
        <w:tabs>
          <w:tab w:val="left" w:pos="2835"/>
        </w:tabs>
        <w:rPr>
          <w:rFonts w:ascii="Calibri" w:hAnsi="Calibri" w:cs="Calibri"/>
          <w:lang w:val="en-GB"/>
        </w:rPr>
      </w:pPr>
      <w:r w:rsidRPr="004800A2">
        <w:rPr>
          <w:rFonts w:ascii="Calibri" w:hAnsi="Calibri" w:cs="Calibri"/>
          <w:lang w:val="en-GB"/>
        </w:rPr>
        <w:t>Input pape</w:t>
      </w:r>
      <w:r w:rsidR="00327038">
        <w:rPr>
          <w:rFonts w:ascii="Calibri" w:hAnsi="Calibri" w:cs="Calibri"/>
          <w:lang w:val="en-GB"/>
        </w:rPr>
        <w:t>r for the following body</w:t>
      </w:r>
      <w:r w:rsidRPr="004800A2">
        <w:rPr>
          <w:rFonts w:ascii="Calibri" w:hAnsi="Calibri" w:cs="Calibri"/>
          <w:lang w:val="en-GB"/>
        </w:rPr>
        <w:t xml:space="preserve">: </w:t>
      </w:r>
      <w:r w:rsidR="00327038">
        <w:rPr>
          <w:rFonts w:ascii="Calibri" w:hAnsi="Calibri" w:cs="Calibri"/>
          <w:lang w:val="en-GB"/>
        </w:rPr>
        <w:tab/>
      </w:r>
      <w:r w:rsidRPr="004800A2">
        <w:rPr>
          <w:rFonts w:ascii="Calibri" w:hAnsi="Calibri" w:cs="Calibri"/>
          <w:lang w:val="en-GB"/>
        </w:rPr>
        <w:tab/>
      </w:r>
      <w:r w:rsidRPr="004800A2">
        <w:rPr>
          <w:rFonts w:ascii="Calibri" w:hAnsi="Calibri" w:cs="Calibri"/>
          <w:sz w:val="18"/>
          <w:szCs w:val="18"/>
          <w:lang w:val="en-GB"/>
        </w:rPr>
        <w:tab/>
      </w:r>
      <w:r w:rsidRPr="004800A2">
        <w:rPr>
          <w:rFonts w:ascii="Calibri" w:hAnsi="Calibri" w:cs="Calibri"/>
          <w:lang w:val="en-GB"/>
        </w:rPr>
        <w:tab/>
      </w:r>
      <w:r w:rsidR="00FC4162">
        <w:rPr>
          <w:rFonts w:ascii="Calibri" w:hAnsi="Calibri" w:cs="Calibri"/>
          <w:lang w:val="en-GB"/>
        </w:rPr>
        <w:tab/>
      </w:r>
      <w:r w:rsidR="00FC4162">
        <w:rPr>
          <w:rFonts w:ascii="Calibri" w:hAnsi="Calibri" w:cs="Calibri"/>
          <w:lang w:val="en-GB"/>
        </w:rPr>
        <w:tab/>
      </w:r>
      <w:r w:rsidRPr="004800A2">
        <w:rPr>
          <w:rFonts w:ascii="Calibri" w:hAnsi="Calibri" w:cs="Calibri"/>
          <w:lang w:val="en-GB"/>
        </w:rPr>
        <w:t>Purpose of paper:</w:t>
      </w:r>
    </w:p>
    <w:p w:rsidR="00FE35BC" w:rsidRPr="004800A2" w:rsidRDefault="00FB30FE" w:rsidP="00037DF4">
      <w:pPr>
        <w:pStyle w:val="BodyText"/>
        <w:tabs>
          <w:tab w:val="left" w:pos="1843"/>
        </w:tabs>
        <w:rPr>
          <w:rFonts w:ascii="Calibri" w:hAnsi="Calibri" w:cs="Calibri"/>
          <w:b/>
          <w:bCs/>
          <w:sz w:val="24"/>
          <w:szCs w:val="24"/>
          <w:lang w:val="en-GB"/>
        </w:rPr>
      </w:pPr>
      <w:r w:rsidRPr="004800A2">
        <w:rPr>
          <w:rFonts w:ascii="Calibri" w:hAnsi="Calibri" w:cs="Calibri"/>
          <w:b/>
          <w:bCs/>
          <w:sz w:val="24"/>
          <w:szCs w:val="24"/>
          <w:lang w:val="en-GB"/>
        </w:rPr>
        <w:t>□</w:t>
      </w:r>
      <w:r>
        <w:rPr>
          <w:rFonts w:ascii="Calibri" w:hAnsi="Calibri" w:cs="Calibri"/>
          <w:b/>
          <w:bCs/>
          <w:sz w:val="24"/>
          <w:szCs w:val="24"/>
          <w:lang w:val="en-GB"/>
        </w:rPr>
        <w:t xml:space="preserve"> </w:t>
      </w:r>
      <w:r w:rsidR="00FE35BC" w:rsidRPr="004800A2">
        <w:rPr>
          <w:rFonts w:ascii="Calibri" w:hAnsi="Calibri" w:cs="Calibri"/>
          <w:lang w:val="en-GB"/>
        </w:rPr>
        <w:t>ARM</w:t>
      </w:r>
      <w:r w:rsidR="00FE35BC" w:rsidRPr="004800A2">
        <w:rPr>
          <w:rFonts w:ascii="Calibri" w:hAnsi="Calibri" w:cs="Calibri"/>
          <w:lang w:val="en-GB"/>
        </w:rPr>
        <w:tab/>
      </w:r>
      <w:r w:rsidR="00FE35BC" w:rsidRPr="004800A2">
        <w:rPr>
          <w:rFonts w:ascii="Calibri" w:hAnsi="Calibri" w:cs="Calibri"/>
          <w:b/>
          <w:bCs/>
          <w:sz w:val="24"/>
          <w:szCs w:val="24"/>
          <w:lang w:val="en-GB"/>
        </w:rPr>
        <w:t>□</w:t>
      </w:r>
      <w:r w:rsidR="00FE35BC" w:rsidRPr="004800A2">
        <w:rPr>
          <w:rFonts w:ascii="Calibri" w:hAnsi="Calibri" w:cs="Calibri"/>
          <w:sz w:val="24"/>
          <w:szCs w:val="24"/>
          <w:lang w:val="en-GB"/>
        </w:rPr>
        <w:t xml:space="preserve">  </w:t>
      </w:r>
      <w:r w:rsidR="00FE35BC" w:rsidRPr="004800A2">
        <w:rPr>
          <w:rFonts w:ascii="Calibri" w:hAnsi="Calibri" w:cs="Calibri"/>
          <w:lang w:val="en-GB"/>
        </w:rPr>
        <w:t>ENG</w:t>
      </w:r>
      <w:r w:rsidR="00FE35BC" w:rsidRPr="004800A2">
        <w:rPr>
          <w:rFonts w:ascii="Calibri" w:hAnsi="Calibri" w:cs="Calibri"/>
          <w:lang w:val="en-GB"/>
        </w:rPr>
        <w:tab/>
      </w:r>
      <w:r w:rsidR="00FE35BC" w:rsidRPr="004800A2">
        <w:rPr>
          <w:rFonts w:ascii="Calibri" w:hAnsi="Calibri" w:cs="Calibri"/>
          <w:lang w:val="en-GB"/>
        </w:rPr>
        <w:tab/>
      </w:r>
      <w:r w:rsidR="00327038" w:rsidRPr="004800A2">
        <w:rPr>
          <w:rFonts w:ascii="Calibri" w:hAnsi="Calibri" w:cs="Calibri"/>
          <w:b/>
          <w:bCs/>
          <w:sz w:val="24"/>
          <w:szCs w:val="24"/>
          <w:lang w:val="en-GB"/>
        </w:rPr>
        <w:t>□</w:t>
      </w:r>
      <w:r w:rsidR="00FE35BC" w:rsidRPr="004800A2">
        <w:rPr>
          <w:rFonts w:ascii="Calibri" w:hAnsi="Calibri" w:cs="Calibri"/>
          <w:sz w:val="24"/>
          <w:szCs w:val="24"/>
          <w:lang w:val="en-GB"/>
        </w:rPr>
        <w:t xml:space="preserve">  </w:t>
      </w:r>
      <w:r w:rsidR="00FE35BC" w:rsidRPr="004800A2">
        <w:rPr>
          <w:rFonts w:ascii="Calibri" w:hAnsi="Calibri" w:cs="Calibri"/>
          <w:lang w:val="en-GB"/>
        </w:rPr>
        <w:t>PAP</w:t>
      </w:r>
      <w:r w:rsidR="00FE35BC" w:rsidRPr="004800A2">
        <w:rPr>
          <w:rFonts w:ascii="Calibri" w:hAnsi="Calibri" w:cs="Calibri"/>
          <w:sz w:val="24"/>
          <w:szCs w:val="24"/>
          <w:lang w:val="en-GB"/>
        </w:rPr>
        <w:tab/>
      </w:r>
      <w:r w:rsidR="00FE35BC" w:rsidRPr="004800A2">
        <w:rPr>
          <w:rFonts w:ascii="Calibri" w:hAnsi="Calibri" w:cs="Calibri"/>
          <w:sz w:val="24"/>
          <w:szCs w:val="24"/>
          <w:lang w:val="en-GB"/>
        </w:rPr>
        <w:tab/>
      </w:r>
      <w:r w:rsidR="00FE35BC" w:rsidRPr="004800A2">
        <w:rPr>
          <w:rFonts w:ascii="Calibri" w:hAnsi="Calibri" w:cs="Calibri"/>
          <w:sz w:val="24"/>
          <w:szCs w:val="24"/>
          <w:lang w:val="en-GB"/>
        </w:rPr>
        <w:tab/>
      </w:r>
      <w:r w:rsidR="00FE35BC" w:rsidRPr="004800A2">
        <w:rPr>
          <w:rFonts w:ascii="Calibri" w:hAnsi="Calibri" w:cs="Calibri"/>
          <w:sz w:val="24"/>
          <w:szCs w:val="24"/>
          <w:lang w:val="en-GB"/>
        </w:rPr>
        <w:tab/>
      </w:r>
      <w:r w:rsidR="00FE35BC" w:rsidRPr="004800A2">
        <w:rPr>
          <w:rFonts w:ascii="Calibri" w:hAnsi="Calibri" w:cs="Calibri"/>
          <w:sz w:val="24"/>
          <w:szCs w:val="24"/>
          <w:lang w:val="en-GB"/>
        </w:rPr>
        <w:tab/>
      </w:r>
      <w:r w:rsidR="00FC4162">
        <w:rPr>
          <w:rFonts w:ascii="Calibri" w:hAnsi="Calibri" w:cs="Calibri"/>
          <w:sz w:val="24"/>
          <w:szCs w:val="24"/>
          <w:lang w:val="en-GB"/>
        </w:rPr>
        <w:sym w:font="Wingdings 2" w:char="F052"/>
      </w:r>
      <w:r w:rsidR="00FE35BC" w:rsidRPr="004800A2">
        <w:rPr>
          <w:rFonts w:ascii="Calibri" w:hAnsi="Calibri" w:cs="Calibri"/>
          <w:sz w:val="24"/>
          <w:szCs w:val="24"/>
          <w:lang w:val="en-GB"/>
        </w:rPr>
        <w:t xml:space="preserve">  Input</w:t>
      </w:r>
    </w:p>
    <w:p w:rsidR="00FE35BC" w:rsidRPr="004800A2" w:rsidRDefault="00FE35BC" w:rsidP="00037DF4">
      <w:pPr>
        <w:pStyle w:val="BodyText"/>
        <w:tabs>
          <w:tab w:val="left" w:pos="1843"/>
        </w:tabs>
        <w:rPr>
          <w:rFonts w:ascii="Calibri" w:hAnsi="Calibri" w:cs="Calibri"/>
          <w:lang w:val="en-GB"/>
        </w:rPr>
      </w:pPr>
      <w:r w:rsidRPr="004800A2">
        <w:rPr>
          <w:rFonts w:ascii="Calibri" w:hAnsi="Calibri" w:cs="Calibri"/>
          <w:b/>
          <w:bCs/>
          <w:sz w:val="24"/>
          <w:szCs w:val="24"/>
          <w:lang w:val="en-GB"/>
        </w:rPr>
        <w:t>□</w:t>
      </w:r>
      <w:r w:rsidRPr="004800A2">
        <w:rPr>
          <w:rFonts w:ascii="Calibri" w:hAnsi="Calibri" w:cs="Calibri"/>
          <w:sz w:val="24"/>
          <w:szCs w:val="24"/>
          <w:lang w:val="en-GB"/>
        </w:rPr>
        <w:t xml:space="preserve">  </w:t>
      </w:r>
      <w:r w:rsidRPr="004800A2">
        <w:rPr>
          <w:rFonts w:ascii="Calibri" w:hAnsi="Calibri" w:cs="Calibri"/>
          <w:lang w:val="en-GB"/>
        </w:rPr>
        <w:t>ENAV</w:t>
      </w:r>
      <w:r w:rsidRPr="004800A2">
        <w:rPr>
          <w:rFonts w:ascii="Calibri" w:hAnsi="Calibri" w:cs="Calibri"/>
          <w:b/>
          <w:bCs/>
          <w:sz w:val="24"/>
          <w:szCs w:val="24"/>
          <w:lang w:val="en-GB"/>
        </w:rPr>
        <w:tab/>
        <w:t>□</w:t>
      </w:r>
      <w:r w:rsidRPr="004800A2">
        <w:rPr>
          <w:rFonts w:ascii="Calibri" w:hAnsi="Calibri" w:cs="Calibri"/>
          <w:sz w:val="24"/>
          <w:szCs w:val="24"/>
          <w:lang w:val="en-GB"/>
        </w:rPr>
        <w:t xml:space="preserve">  </w:t>
      </w:r>
      <w:r w:rsidRPr="004800A2">
        <w:rPr>
          <w:rFonts w:ascii="Calibri" w:hAnsi="Calibri" w:cs="Calibri"/>
          <w:lang w:val="en-GB"/>
        </w:rPr>
        <w:t>VTS</w:t>
      </w:r>
      <w:r w:rsidRPr="004800A2">
        <w:rPr>
          <w:rFonts w:ascii="Calibri" w:hAnsi="Calibri" w:cs="Calibri"/>
          <w:sz w:val="24"/>
          <w:szCs w:val="24"/>
          <w:lang w:val="en-GB"/>
        </w:rPr>
        <w:tab/>
      </w:r>
      <w:r w:rsidRPr="004800A2">
        <w:rPr>
          <w:rFonts w:ascii="Calibri" w:hAnsi="Calibri" w:cs="Calibri"/>
          <w:sz w:val="24"/>
          <w:szCs w:val="24"/>
          <w:lang w:val="en-GB"/>
        </w:rPr>
        <w:tab/>
      </w:r>
      <w:r w:rsidR="00327038">
        <w:rPr>
          <w:rFonts w:ascii="Calibri" w:hAnsi="Calibri" w:cs="Calibri"/>
          <w:sz w:val="24"/>
          <w:szCs w:val="24"/>
          <w:lang w:val="en-GB"/>
        </w:rPr>
        <w:sym w:font="Wingdings 2" w:char="F052"/>
      </w:r>
      <w:r w:rsidR="00327038" w:rsidRPr="004800A2">
        <w:rPr>
          <w:rFonts w:ascii="Calibri" w:hAnsi="Calibri" w:cs="Calibri"/>
          <w:sz w:val="24"/>
          <w:szCs w:val="24"/>
          <w:lang w:val="en-GB"/>
        </w:rPr>
        <w:t xml:space="preserve">  </w:t>
      </w:r>
      <w:r w:rsidR="00327038">
        <w:rPr>
          <w:rFonts w:ascii="Calibri" w:hAnsi="Calibri" w:cs="Calibri"/>
          <w:lang w:val="en-GB"/>
        </w:rPr>
        <w:t>LA</w:t>
      </w:r>
      <w:r w:rsidR="00327038" w:rsidRPr="004800A2">
        <w:rPr>
          <w:rFonts w:ascii="Calibri" w:hAnsi="Calibri" w:cs="Calibri"/>
          <w:lang w:val="en-GB"/>
        </w:rPr>
        <w:t>P</w:t>
      </w:r>
      <w:r w:rsidRPr="004800A2">
        <w:rPr>
          <w:rFonts w:ascii="Calibri" w:hAnsi="Calibri" w:cs="Calibri"/>
          <w:sz w:val="24"/>
          <w:szCs w:val="24"/>
          <w:lang w:val="en-GB"/>
        </w:rPr>
        <w:tab/>
      </w:r>
      <w:r w:rsidRPr="004800A2">
        <w:rPr>
          <w:rFonts w:ascii="Calibri" w:hAnsi="Calibri" w:cs="Calibri"/>
          <w:sz w:val="24"/>
          <w:szCs w:val="24"/>
          <w:lang w:val="en-GB"/>
        </w:rPr>
        <w:tab/>
      </w:r>
      <w:r w:rsidRPr="004800A2">
        <w:rPr>
          <w:rFonts w:ascii="Calibri" w:hAnsi="Calibri" w:cs="Calibri"/>
          <w:sz w:val="24"/>
          <w:szCs w:val="24"/>
          <w:lang w:val="en-GB"/>
        </w:rPr>
        <w:tab/>
      </w:r>
      <w:r w:rsidRPr="004800A2">
        <w:rPr>
          <w:rFonts w:ascii="Calibri" w:hAnsi="Calibri" w:cs="Calibri"/>
          <w:sz w:val="24"/>
          <w:szCs w:val="24"/>
          <w:lang w:val="en-GB"/>
        </w:rPr>
        <w:tab/>
      </w:r>
      <w:r w:rsidRPr="004800A2">
        <w:rPr>
          <w:rFonts w:ascii="Calibri" w:hAnsi="Calibri" w:cs="Calibri"/>
          <w:sz w:val="24"/>
          <w:szCs w:val="24"/>
          <w:lang w:val="en-GB"/>
        </w:rPr>
        <w:tab/>
      </w:r>
      <w:r w:rsidR="00FC4162" w:rsidRPr="004800A2">
        <w:rPr>
          <w:rFonts w:ascii="Calibri" w:hAnsi="Calibri" w:cs="Calibri"/>
          <w:b/>
          <w:bCs/>
          <w:sz w:val="24"/>
          <w:szCs w:val="24"/>
          <w:lang w:val="en-GB"/>
        </w:rPr>
        <w:t>□</w:t>
      </w:r>
      <w:r w:rsidRPr="004800A2">
        <w:rPr>
          <w:rFonts w:ascii="Calibri" w:hAnsi="Calibri" w:cs="Calibri"/>
          <w:sz w:val="24"/>
          <w:szCs w:val="24"/>
          <w:lang w:val="en-GB"/>
        </w:rPr>
        <w:t xml:space="preserve">  Information</w:t>
      </w:r>
    </w:p>
    <w:p w:rsidR="00FE35BC" w:rsidRPr="004800A2" w:rsidRDefault="00FE35BC" w:rsidP="00FE5674">
      <w:pPr>
        <w:pStyle w:val="BodyText"/>
        <w:tabs>
          <w:tab w:val="left" w:pos="2835"/>
        </w:tabs>
        <w:rPr>
          <w:rFonts w:ascii="Calibri" w:hAnsi="Calibri" w:cs="Calibri"/>
          <w:lang w:val="en-GB"/>
        </w:rPr>
      </w:pPr>
      <w:r w:rsidRPr="004800A2">
        <w:rPr>
          <w:rFonts w:ascii="Calibri" w:hAnsi="Calibri" w:cs="Calibri"/>
          <w:lang w:val="en-GB"/>
        </w:rPr>
        <w:t>Agenda item</w:t>
      </w:r>
      <w:r>
        <w:rPr>
          <w:rFonts w:ascii="Calibri" w:hAnsi="Calibri" w:cs="Calibri"/>
          <w:lang w:val="en-GB"/>
        </w:rPr>
        <w:tab/>
      </w:r>
      <w:r>
        <w:rPr>
          <w:rFonts w:ascii="Calibri" w:hAnsi="Calibri" w:cs="Calibri"/>
          <w:lang w:val="en-GB"/>
        </w:rPr>
        <w:tab/>
      </w:r>
      <w:r>
        <w:rPr>
          <w:rFonts w:ascii="Calibri" w:hAnsi="Calibri" w:cs="Calibri"/>
          <w:lang w:val="en-GB"/>
        </w:rPr>
        <w:tab/>
      </w:r>
      <w:r w:rsidR="000C4D4B">
        <w:rPr>
          <w:rFonts w:ascii="Calibri" w:hAnsi="Calibri" w:cs="Calibri"/>
          <w:lang w:val="en-GB"/>
        </w:rPr>
        <w:t>9</w:t>
      </w:r>
    </w:p>
    <w:p w:rsidR="00FE35BC" w:rsidRPr="004800A2" w:rsidRDefault="00FE35BC" w:rsidP="00FE5674">
      <w:pPr>
        <w:pStyle w:val="BodyText"/>
        <w:tabs>
          <w:tab w:val="left" w:pos="2835"/>
        </w:tabs>
        <w:rPr>
          <w:rFonts w:ascii="Calibri" w:hAnsi="Calibri" w:cs="Calibri"/>
          <w:color w:val="FF0000"/>
          <w:lang w:val="en-GB"/>
        </w:rPr>
      </w:pPr>
      <w:r w:rsidRPr="004800A2">
        <w:rPr>
          <w:rFonts w:ascii="Calibri" w:hAnsi="Calibri" w:cs="Calibri"/>
          <w:lang w:val="en-GB"/>
        </w:rPr>
        <w:t>Author(s) / Submitter(s)</w:t>
      </w:r>
      <w:r w:rsidRPr="004800A2">
        <w:rPr>
          <w:rFonts w:ascii="Calibri" w:hAnsi="Calibri" w:cs="Calibri"/>
          <w:lang w:val="en-GB"/>
        </w:rPr>
        <w:tab/>
      </w:r>
      <w:r w:rsidRPr="004800A2">
        <w:rPr>
          <w:rFonts w:ascii="Calibri" w:hAnsi="Calibri" w:cs="Calibri"/>
          <w:lang w:val="en-GB"/>
        </w:rPr>
        <w:tab/>
      </w:r>
      <w:r w:rsidRPr="004800A2">
        <w:rPr>
          <w:rFonts w:ascii="Calibri" w:hAnsi="Calibri" w:cs="Calibri"/>
          <w:lang w:val="en-GB"/>
        </w:rPr>
        <w:tab/>
      </w:r>
      <w:r w:rsidR="000C4D4B">
        <w:rPr>
          <w:rFonts w:ascii="Calibri" w:hAnsi="Calibri" w:cs="Calibri"/>
          <w:lang w:val="en-GB"/>
        </w:rPr>
        <w:t>Lynn Pauwels</w:t>
      </w:r>
      <w:r>
        <w:rPr>
          <w:rFonts w:ascii="Calibri" w:hAnsi="Calibri" w:cs="Calibri"/>
          <w:lang w:val="en-GB"/>
        </w:rPr>
        <w:t xml:space="preserve"> </w:t>
      </w:r>
    </w:p>
    <w:p w:rsidR="00FE35BC" w:rsidRPr="004800A2" w:rsidRDefault="00FE35BC" w:rsidP="00FE5674">
      <w:pPr>
        <w:pStyle w:val="BodyText"/>
        <w:tabs>
          <w:tab w:val="left" w:pos="2835"/>
        </w:tabs>
        <w:rPr>
          <w:rFonts w:ascii="Calibri" w:hAnsi="Calibri" w:cs="Calibri"/>
          <w:lang w:val="en-GB"/>
        </w:rPr>
      </w:pPr>
    </w:p>
    <w:p w:rsidR="000C4D4B" w:rsidRPr="000C4D4B" w:rsidRDefault="000C4D4B" w:rsidP="00327038">
      <w:pPr>
        <w:pStyle w:val="Title"/>
        <w:spacing w:before="0"/>
        <w:rPr>
          <w:rFonts w:ascii="Calibri" w:hAnsi="Calibri" w:cs="Calibri"/>
          <w:color w:val="00558C"/>
          <w:lang w:val="en-US"/>
        </w:rPr>
      </w:pPr>
      <w:r w:rsidRPr="000C4D4B">
        <w:rPr>
          <w:rFonts w:ascii="Calibri" w:hAnsi="Calibri" w:cs="Calibri"/>
          <w:color w:val="00558C"/>
          <w:lang w:val="en-GB"/>
        </w:rPr>
        <w:t>Practical and legal overview of the current patent landscape anno 2017</w:t>
      </w:r>
    </w:p>
    <w:p w:rsidR="00FE35BC" w:rsidRPr="00FC4162" w:rsidRDefault="000C4D4B" w:rsidP="009826EE">
      <w:pPr>
        <w:pStyle w:val="Heading1"/>
        <w:spacing w:after="120"/>
        <w:rPr>
          <w:color w:val="00558C"/>
          <w:lang w:val="en-GB"/>
        </w:rPr>
      </w:pPr>
      <w:r>
        <w:rPr>
          <w:color w:val="00558C"/>
          <w:lang w:val="en-GB"/>
        </w:rPr>
        <w:t>Introduction</w:t>
      </w:r>
    </w:p>
    <w:p w:rsidR="000C4D4B" w:rsidRPr="000C4D4B" w:rsidRDefault="000C4D4B" w:rsidP="000C4D4B">
      <w:pPr>
        <w:pStyle w:val="BodyText"/>
        <w:rPr>
          <w:rFonts w:asciiTheme="minorHAnsi" w:hAnsiTheme="minorHAnsi" w:cstheme="minorHAnsi"/>
          <w:sz w:val="22"/>
          <w:szCs w:val="22"/>
          <w:lang w:val="en-GB"/>
        </w:rPr>
      </w:pPr>
      <w:r w:rsidRPr="000C4D4B">
        <w:rPr>
          <w:rFonts w:asciiTheme="minorHAnsi" w:hAnsiTheme="minorHAnsi" w:cstheme="minorHAnsi"/>
          <w:sz w:val="22"/>
          <w:szCs w:val="22"/>
          <w:lang w:val="en-GB"/>
        </w:rPr>
        <w:t>The major objective of this analysis is to provide a legal and practical overview of the curr</w:t>
      </w:r>
      <w:r>
        <w:rPr>
          <w:rFonts w:asciiTheme="minorHAnsi" w:hAnsiTheme="minorHAnsi" w:cstheme="minorHAnsi"/>
          <w:sz w:val="22"/>
          <w:szCs w:val="22"/>
          <w:lang w:val="en-GB"/>
        </w:rPr>
        <w:t>ent patent landscape anno 2017.</w:t>
      </w:r>
    </w:p>
    <w:p w:rsidR="000C4D4B" w:rsidRPr="000C4D4B" w:rsidRDefault="000C4D4B" w:rsidP="000C4D4B">
      <w:pPr>
        <w:pStyle w:val="BodyText"/>
        <w:rPr>
          <w:rFonts w:asciiTheme="minorHAnsi" w:hAnsiTheme="minorHAnsi" w:cstheme="minorHAnsi"/>
          <w:sz w:val="22"/>
          <w:szCs w:val="22"/>
          <w:lang w:val="en-GB"/>
        </w:rPr>
      </w:pPr>
      <w:r w:rsidRPr="000C4D4B">
        <w:rPr>
          <w:rFonts w:asciiTheme="minorHAnsi" w:hAnsiTheme="minorHAnsi" w:cstheme="minorHAnsi"/>
          <w:sz w:val="22"/>
          <w:szCs w:val="22"/>
          <w:lang w:val="en-GB"/>
        </w:rPr>
        <w:t xml:space="preserve">A patent is a legal title granting its holder the exclusive rights to prevent third parties, from exploiting (i.e. making, using, offering for sale, selling or importing) infringing products without authorisation in a defined country and for a limited period. </w:t>
      </w:r>
    </w:p>
    <w:p w:rsidR="000C4D4B" w:rsidRPr="000C4D4B" w:rsidRDefault="000C4D4B" w:rsidP="000C4D4B">
      <w:pPr>
        <w:pStyle w:val="BodyText"/>
        <w:rPr>
          <w:rFonts w:asciiTheme="minorHAnsi" w:hAnsiTheme="minorHAnsi" w:cstheme="minorHAnsi"/>
          <w:sz w:val="22"/>
          <w:szCs w:val="22"/>
          <w:lang w:val="en-GB"/>
        </w:rPr>
      </w:pPr>
      <w:r w:rsidRPr="000C4D4B">
        <w:rPr>
          <w:rFonts w:asciiTheme="minorHAnsi" w:hAnsiTheme="minorHAnsi" w:cstheme="minorHAnsi"/>
          <w:sz w:val="22"/>
          <w:szCs w:val="22"/>
          <w:lang w:val="en-GB"/>
        </w:rPr>
        <w:t>This definition contains four main characteristics:</w:t>
      </w:r>
    </w:p>
    <w:p w:rsidR="000C4D4B" w:rsidRPr="000C4D4B" w:rsidRDefault="000C4D4B" w:rsidP="000C4D4B">
      <w:pPr>
        <w:pStyle w:val="BodyText"/>
        <w:numPr>
          <w:ilvl w:val="0"/>
          <w:numId w:val="26"/>
        </w:numPr>
        <w:rPr>
          <w:rFonts w:asciiTheme="minorHAnsi" w:hAnsiTheme="minorHAnsi" w:cstheme="minorHAnsi"/>
          <w:sz w:val="22"/>
          <w:szCs w:val="22"/>
          <w:lang w:val="en-GB"/>
        </w:rPr>
      </w:pPr>
      <w:r w:rsidRPr="000C4D4B">
        <w:rPr>
          <w:rFonts w:asciiTheme="minorHAnsi" w:hAnsiTheme="minorHAnsi" w:cstheme="minorHAnsi"/>
          <w:sz w:val="22"/>
          <w:szCs w:val="22"/>
          <w:lang w:val="en-GB"/>
        </w:rPr>
        <w:t>exclusive right</w:t>
      </w:r>
    </w:p>
    <w:p w:rsidR="000C4D4B" w:rsidRPr="000C4D4B" w:rsidRDefault="000C4D4B" w:rsidP="000C4D4B">
      <w:pPr>
        <w:pStyle w:val="BodyText"/>
        <w:numPr>
          <w:ilvl w:val="0"/>
          <w:numId w:val="26"/>
        </w:numPr>
        <w:rPr>
          <w:rFonts w:asciiTheme="minorHAnsi" w:hAnsiTheme="minorHAnsi" w:cstheme="minorHAnsi"/>
          <w:sz w:val="22"/>
          <w:szCs w:val="22"/>
          <w:lang w:val="en-GB"/>
        </w:rPr>
      </w:pPr>
      <w:r w:rsidRPr="000C4D4B">
        <w:rPr>
          <w:rFonts w:asciiTheme="minorHAnsi" w:hAnsiTheme="minorHAnsi" w:cstheme="minorHAnsi"/>
          <w:sz w:val="22"/>
          <w:szCs w:val="22"/>
          <w:lang w:val="en-GB"/>
        </w:rPr>
        <w:t>without authorisation</w:t>
      </w:r>
    </w:p>
    <w:p w:rsidR="000C4D4B" w:rsidRPr="000C4D4B" w:rsidRDefault="000C4D4B" w:rsidP="000C4D4B">
      <w:pPr>
        <w:pStyle w:val="BodyText"/>
        <w:numPr>
          <w:ilvl w:val="0"/>
          <w:numId w:val="26"/>
        </w:numPr>
        <w:rPr>
          <w:rFonts w:asciiTheme="minorHAnsi" w:hAnsiTheme="minorHAnsi" w:cstheme="minorHAnsi"/>
          <w:sz w:val="22"/>
          <w:szCs w:val="22"/>
          <w:lang w:val="en-GB"/>
        </w:rPr>
      </w:pPr>
      <w:r w:rsidRPr="000C4D4B">
        <w:rPr>
          <w:rFonts w:asciiTheme="minorHAnsi" w:hAnsiTheme="minorHAnsi" w:cstheme="minorHAnsi"/>
          <w:sz w:val="22"/>
          <w:szCs w:val="22"/>
          <w:lang w:val="en-GB"/>
        </w:rPr>
        <w:t xml:space="preserve">defined country </w:t>
      </w:r>
    </w:p>
    <w:p w:rsidR="000C4D4B" w:rsidRPr="000C4D4B" w:rsidRDefault="000C4D4B" w:rsidP="000C4D4B">
      <w:pPr>
        <w:pStyle w:val="BodyText"/>
        <w:numPr>
          <w:ilvl w:val="0"/>
          <w:numId w:val="26"/>
        </w:numPr>
        <w:rPr>
          <w:rFonts w:asciiTheme="minorHAnsi" w:hAnsiTheme="minorHAnsi" w:cstheme="minorHAnsi"/>
          <w:sz w:val="22"/>
          <w:szCs w:val="22"/>
          <w:lang w:val="en-GB"/>
        </w:rPr>
      </w:pPr>
      <w:r w:rsidRPr="000C4D4B">
        <w:rPr>
          <w:rFonts w:asciiTheme="minorHAnsi" w:hAnsiTheme="minorHAnsi" w:cstheme="minorHAnsi"/>
          <w:sz w:val="22"/>
          <w:szCs w:val="22"/>
          <w:lang w:val="en-GB"/>
        </w:rPr>
        <w:t>limited period of time</w:t>
      </w:r>
    </w:p>
    <w:p w:rsidR="000C4D4B" w:rsidRPr="000C4D4B" w:rsidRDefault="000C4D4B" w:rsidP="000C4D4B">
      <w:pPr>
        <w:pStyle w:val="BodyText"/>
        <w:rPr>
          <w:rFonts w:asciiTheme="minorHAnsi" w:hAnsiTheme="minorHAnsi" w:cstheme="minorHAnsi"/>
          <w:sz w:val="22"/>
          <w:szCs w:val="22"/>
          <w:lang w:val="en-GB"/>
        </w:rPr>
      </w:pPr>
      <w:r w:rsidRPr="000C4D4B">
        <w:rPr>
          <w:rFonts w:asciiTheme="minorHAnsi" w:hAnsiTheme="minorHAnsi" w:cstheme="minorHAnsi"/>
          <w:sz w:val="22"/>
          <w:szCs w:val="22"/>
          <w:lang w:val="en-GB"/>
        </w:rPr>
        <w:t xml:space="preserve">In return for this legal protection, the patent holder has to disclose the invention to the public. </w:t>
      </w:r>
    </w:p>
    <w:p w:rsidR="000C4D4B" w:rsidRPr="000C4D4B" w:rsidRDefault="000C4D4B" w:rsidP="000C4D4B">
      <w:pPr>
        <w:pStyle w:val="BodyText"/>
        <w:rPr>
          <w:rFonts w:asciiTheme="minorHAnsi" w:hAnsiTheme="minorHAnsi" w:cstheme="minorHAnsi"/>
          <w:sz w:val="22"/>
          <w:szCs w:val="22"/>
          <w:lang w:val="en-GB"/>
        </w:rPr>
      </w:pPr>
      <w:r w:rsidRPr="000C4D4B">
        <w:rPr>
          <w:rFonts w:asciiTheme="minorHAnsi" w:hAnsiTheme="minorHAnsi" w:cstheme="minorHAnsi"/>
          <w:sz w:val="22"/>
          <w:szCs w:val="22"/>
          <w:lang w:val="en-GB"/>
        </w:rPr>
        <w:t xml:space="preserve">At this point, there is an arsenal of international and European instruments dealing with patent law. </w:t>
      </w:r>
    </w:p>
    <w:p w:rsidR="000C4D4B" w:rsidRPr="000C4D4B" w:rsidRDefault="000C4D4B" w:rsidP="000C4D4B">
      <w:pPr>
        <w:pStyle w:val="BodyText"/>
        <w:rPr>
          <w:rFonts w:asciiTheme="minorHAnsi" w:hAnsiTheme="minorHAnsi" w:cstheme="minorHAnsi"/>
          <w:sz w:val="22"/>
          <w:szCs w:val="22"/>
          <w:lang w:val="en-GB"/>
        </w:rPr>
      </w:pPr>
      <w:r w:rsidRPr="000C4D4B">
        <w:rPr>
          <w:rFonts w:asciiTheme="minorHAnsi" w:hAnsiTheme="minorHAnsi" w:cstheme="minorHAnsi"/>
          <w:sz w:val="22"/>
          <w:szCs w:val="22"/>
          <w:lang w:val="en-GB"/>
        </w:rPr>
        <w:t xml:space="preserve">For example at international level, the Agreement on Trade Related Aspects of Intellectual Property Rights (TRIPS), the Paris Convention and the Patent Cooperation Treaty (PCT) should be taken into account. </w:t>
      </w:r>
    </w:p>
    <w:p w:rsidR="000C4D4B" w:rsidRPr="000C4D4B" w:rsidRDefault="000C4D4B" w:rsidP="000C4D4B">
      <w:pPr>
        <w:pStyle w:val="BodyText"/>
        <w:rPr>
          <w:rFonts w:asciiTheme="minorHAnsi" w:hAnsiTheme="minorHAnsi" w:cstheme="minorHAnsi"/>
          <w:sz w:val="22"/>
          <w:szCs w:val="22"/>
          <w:lang w:val="en-GB"/>
        </w:rPr>
      </w:pPr>
      <w:r w:rsidRPr="000C4D4B">
        <w:rPr>
          <w:rFonts w:asciiTheme="minorHAnsi" w:hAnsiTheme="minorHAnsi" w:cstheme="minorHAnsi"/>
          <w:sz w:val="22"/>
          <w:szCs w:val="22"/>
          <w:lang w:val="en-GB"/>
        </w:rPr>
        <w:t xml:space="preserve">At European level, the European Patent Convention (EPC) is the leading instrument. </w:t>
      </w:r>
    </w:p>
    <w:p w:rsidR="000C4D4B" w:rsidRPr="000C4D4B" w:rsidRDefault="000C4D4B" w:rsidP="000C4D4B">
      <w:pPr>
        <w:pStyle w:val="BodyText"/>
        <w:rPr>
          <w:rFonts w:asciiTheme="minorHAnsi" w:hAnsiTheme="minorHAnsi" w:cstheme="minorHAnsi"/>
          <w:sz w:val="22"/>
          <w:szCs w:val="22"/>
          <w:lang w:val="en-GB"/>
        </w:rPr>
      </w:pPr>
      <w:r w:rsidRPr="000C4D4B">
        <w:rPr>
          <w:rFonts w:asciiTheme="minorHAnsi" w:hAnsiTheme="minorHAnsi" w:cstheme="minorHAnsi"/>
          <w:sz w:val="22"/>
          <w:szCs w:val="22"/>
          <w:lang w:val="en-GB"/>
        </w:rPr>
        <w:t xml:space="preserve">Additionally, there is the Agreement on Unified Patent Cooperation which significantly contributes to the integration process in Europe, in particular to the establishment of an internal market within the European Union characterised by the free movement of goods and services and the creation of a system ensuring that competition in the internal market is not distorted. On top of that, it should be noticed that by virtue of Regulation (EU) No 1257/20121, patent proprietors can request unitary effect of their European patents so as to obtain unitary patent protection in the Member States of the European Union participating in the enhanced cooperation. </w:t>
      </w:r>
    </w:p>
    <w:p w:rsidR="000C4D4B" w:rsidRPr="000C4D4B" w:rsidRDefault="000C4D4B" w:rsidP="000C4D4B">
      <w:pPr>
        <w:pStyle w:val="BodyText"/>
        <w:rPr>
          <w:rFonts w:asciiTheme="minorHAnsi" w:hAnsiTheme="minorHAnsi" w:cstheme="minorHAnsi"/>
          <w:sz w:val="22"/>
          <w:szCs w:val="22"/>
          <w:lang w:val="en-GB"/>
        </w:rPr>
      </w:pPr>
      <w:r w:rsidRPr="000C4D4B">
        <w:rPr>
          <w:rFonts w:asciiTheme="minorHAnsi" w:hAnsiTheme="minorHAnsi" w:cstheme="minorHAnsi"/>
          <w:sz w:val="22"/>
          <w:szCs w:val="22"/>
          <w:lang w:val="en-GB"/>
        </w:rPr>
        <w:t xml:space="preserve">The legal instruments at national level fall beyond the scope of this research because they vary from country to country. </w:t>
      </w:r>
    </w:p>
    <w:p w:rsidR="000C4D4B" w:rsidRPr="000C4D4B" w:rsidRDefault="000C4D4B" w:rsidP="000C4D4B">
      <w:pPr>
        <w:pStyle w:val="BodyText"/>
        <w:rPr>
          <w:rFonts w:asciiTheme="minorHAnsi" w:hAnsiTheme="minorHAnsi" w:cstheme="minorHAnsi"/>
          <w:sz w:val="22"/>
          <w:szCs w:val="22"/>
          <w:lang w:val="en-GB"/>
        </w:rPr>
      </w:pPr>
      <w:r w:rsidRPr="000C4D4B">
        <w:rPr>
          <w:rFonts w:asciiTheme="minorHAnsi" w:hAnsiTheme="minorHAnsi" w:cstheme="minorHAnsi"/>
          <w:sz w:val="22"/>
          <w:szCs w:val="22"/>
          <w:lang w:val="en-GB"/>
        </w:rPr>
        <w:t xml:space="preserve">This analysis has been divided into three parts and begins by the practical steps for obtaining a patent. It will then go on to the examination of the validity of a patent. The last part is concerned with the granting procedure. </w:t>
      </w:r>
    </w:p>
    <w:p w:rsidR="00FE35BC" w:rsidRPr="000C4D4B" w:rsidRDefault="000C4D4B" w:rsidP="009826EE">
      <w:pPr>
        <w:pStyle w:val="Heading1"/>
        <w:spacing w:after="120"/>
        <w:rPr>
          <w:color w:val="00558C"/>
          <w:lang w:val="en-GB"/>
        </w:rPr>
      </w:pPr>
      <w:r w:rsidRPr="000C4D4B">
        <w:rPr>
          <w:color w:val="00558C"/>
          <w:lang w:val="en-GB"/>
        </w:rPr>
        <w:t>The practical steps for obtaining a patent</w:t>
      </w:r>
    </w:p>
    <w:p w:rsidR="000C4D4B" w:rsidRPr="00064A01" w:rsidRDefault="000C4D4B" w:rsidP="000C4D4B">
      <w:pPr>
        <w:spacing w:line="276" w:lineRule="auto"/>
        <w:jc w:val="both"/>
        <w:rPr>
          <w:rFonts w:ascii="Calibri" w:hAnsi="Calibri"/>
          <w:lang w:val="en-US"/>
        </w:rPr>
      </w:pPr>
      <w:r w:rsidRPr="00064A01">
        <w:rPr>
          <w:rFonts w:ascii="Calibri" w:hAnsi="Calibri"/>
          <w:lang w:val="en-US"/>
        </w:rPr>
        <w:t>Currently there are four routes for obtaining a patent which might be combined:</w:t>
      </w:r>
    </w:p>
    <w:p w:rsidR="000C4D4B" w:rsidRPr="000C4D4B" w:rsidRDefault="000C4D4B" w:rsidP="000C4D4B">
      <w:pPr>
        <w:pStyle w:val="ListParagraph"/>
        <w:numPr>
          <w:ilvl w:val="0"/>
          <w:numId w:val="28"/>
        </w:numPr>
        <w:spacing w:line="276" w:lineRule="auto"/>
        <w:ind w:left="709"/>
        <w:contextualSpacing/>
        <w:jc w:val="both"/>
        <w:rPr>
          <w:rFonts w:ascii="Calibri" w:hAnsi="Calibri"/>
          <w:lang w:val="en-US"/>
        </w:rPr>
      </w:pPr>
      <w:r w:rsidRPr="000C4D4B">
        <w:rPr>
          <w:rFonts w:ascii="Calibri" w:hAnsi="Calibri"/>
          <w:lang w:val="en-US"/>
        </w:rPr>
        <w:lastRenderedPageBreak/>
        <w:t>the ‘international’ route which results in an international patent;</w:t>
      </w:r>
    </w:p>
    <w:p w:rsidR="000C4D4B" w:rsidRPr="000C4D4B" w:rsidRDefault="000C4D4B" w:rsidP="000C4D4B">
      <w:pPr>
        <w:pStyle w:val="ListParagraph"/>
        <w:numPr>
          <w:ilvl w:val="0"/>
          <w:numId w:val="28"/>
        </w:numPr>
        <w:spacing w:line="276" w:lineRule="auto"/>
        <w:ind w:left="709"/>
        <w:contextualSpacing/>
        <w:jc w:val="both"/>
        <w:rPr>
          <w:rFonts w:ascii="Calibri" w:hAnsi="Calibri"/>
          <w:lang w:val="en-US"/>
        </w:rPr>
      </w:pPr>
      <w:r w:rsidRPr="000C4D4B">
        <w:rPr>
          <w:rFonts w:ascii="Calibri" w:hAnsi="Calibri"/>
          <w:lang w:val="en-US"/>
        </w:rPr>
        <w:t xml:space="preserve">the ‘traditional’ European route which results in an European patent: the entire patent grant procedure is governed by the EPC alone; </w:t>
      </w:r>
    </w:p>
    <w:p w:rsidR="000C4D4B" w:rsidRPr="000C4D4B" w:rsidRDefault="000C4D4B" w:rsidP="000C4D4B">
      <w:pPr>
        <w:pStyle w:val="ListParagraph"/>
        <w:numPr>
          <w:ilvl w:val="0"/>
          <w:numId w:val="28"/>
        </w:numPr>
        <w:spacing w:line="276" w:lineRule="auto"/>
        <w:ind w:left="709"/>
        <w:contextualSpacing/>
        <w:jc w:val="both"/>
        <w:rPr>
          <w:rFonts w:ascii="Calibri" w:hAnsi="Calibri"/>
          <w:lang w:val="en-US"/>
        </w:rPr>
      </w:pPr>
      <w:r w:rsidRPr="000C4D4B">
        <w:rPr>
          <w:rFonts w:ascii="Calibri" w:hAnsi="Calibri"/>
          <w:lang w:val="en-US"/>
        </w:rPr>
        <w:t>the ‘unitary’ European or Euro-PCT route which results in an European patent with unitary effects;</w:t>
      </w:r>
    </w:p>
    <w:p w:rsidR="000C4D4B" w:rsidRPr="000C4D4B" w:rsidRDefault="000C4D4B" w:rsidP="000C4D4B">
      <w:pPr>
        <w:pStyle w:val="ListParagraph"/>
        <w:numPr>
          <w:ilvl w:val="0"/>
          <w:numId w:val="28"/>
        </w:numPr>
        <w:spacing w:line="276" w:lineRule="auto"/>
        <w:ind w:left="709"/>
        <w:contextualSpacing/>
        <w:jc w:val="both"/>
        <w:rPr>
          <w:rFonts w:ascii="Calibri" w:hAnsi="Calibri"/>
          <w:lang w:val="en-US"/>
        </w:rPr>
      </w:pPr>
      <w:r w:rsidRPr="000C4D4B">
        <w:rPr>
          <w:rFonts w:ascii="Calibri" w:hAnsi="Calibri"/>
          <w:lang w:val="en-US"/>
        </w:rPr>
        <w:t>the “national route” which results in a national patent.</w:t>
      </w:r>
    </w:p>
    <w:p w:rsidR="000C4D4B" w:rsidRPr="00EE66C1" w:rsidRDefault="000C4D4B" w:rsidP="000C4D4B">
      <w:pPr>
        <w:spacing w:line="276" w:lineRule="auto"/>
        <w:jc w:val="both"/>
        <w:rPr>
          <w:rFonts w:ascii="Calibri" w:hAnsi="Calibri"/>
          <w:sz w:val="20"/>
          <w:szCs w:val="20"/>
          <w:lang w:val="en-US"/>
        </w:rPr>
      </w:pPr>
    </w:p>
    <w:p w:rsidR="000C4D4B" w:rsidRDefault="000C4D4B" w:rsidP="000C4D4B">
      <w:pPr>
        <w:spacing w:line="276" w:lineRule="auto"/>
        <w:jc w:val="both"/>
        <w:rPr>
          <w:rFonts w:ascii="Calibri" w:hAnsi="Calibri"/>
          <w:color w:val="0070C0"/>
          <w:lang w:val="en-US"/>
        </w:rPr>
      </w:pPr>
      <w:r>
        <w:rPr>
          <w:noProof/>
          <w:lang w:val="en-IE" w:eastAsia="en-IE"/>
        </w:rPr>
        <w:drawing>
          <wp:inline distT="0" distB="0" distL="0" distR="0" wp14:anchorId="71510150" wp14:editId="4BAC461C">
            <wp:extent cx="3982595" cy="2559050"/>
            <wp:effectExtent l="0" t="0" r="0" b="0"/>
            <wp:docPr id="3"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9585" cy="2576393"/>
                    </a:xfrm>
                    <a:prstGeom prst="rect">
                      <a:avLst/>
                    </a:prstGeom>
                    <a:noFill/>
                    <a:ln>
                      <a:noFill/>
                    </a:ln>
                  </pic:spPr>
                </pic:pic>
              </a:graphicData>
            </a:graphic>
          </wp:inline>
        </w:drawing>
      </w:r>
    </w:p>
    <w:p w:rsidR="000C4D4B" w:rsidRDefault="000C4D4B" w:rsidP="000C4D4B">
      <w:pPr>
        <w:spacing w:line="276" w:lineRule="auto"/>
        <w:jc w:val="both"/>
        <w:rPr>
          <w:rFonts w:ascii="Calibri" w:hAnsi="Calibri"/>
          <w:color w:val="0070C0"/>
          <w:lang w:val="en-US"/>
        </w:rPr>
      </w:pPr>
    </w:p>
    <w:p w:rsidR="000C4D4B" w:rsidRDefault="000C4D4B" w:rsidP="000C4D4B">
      <w:pPr>
        <w:spacing w:line="276" w:lineRule="auto"/>
        <w:jc w:val="both"/>
        <w:rPr>
          <w:rFonts w:ascii="Calibri" w:hAnsi="Calibri"/>
          <w:color w:val="0070C0"/>
          <w:lang w:val="en-US"/>
        </w:rPr>
      </w:pPr>
    </w:p>
    <w:p w:rsidR="000C4D4B" w:rsidRPr="00336D23" w:rsidRDefault="000C4D4B" w:rsidP="000C4D4B">
      <w:pPr>
        <w:spacing w:line="276" w:lineRule="auto"/>
        <w:ind w:firstLine="708"/>
        <w:rPr>
          <w:rFonts w:ascii="Calibri" w:hAnsi="Calibri"/>
          <w:sz w:val="18"/>
          <w:szCs w:val="18"/>
        </w:rPr>
      </w:pPr>
      <w:r w:rsidRPr="00336D23">
        <w:rPr>
          <w:rFonts w:ascii="Calibri" w:hAnsi="Calibri"/>
          <w:sz w:val="18"/>
          <w:szCs w:val="18"/>
        </w:rPr>
        <w:t xml:space="preserve">© Source </w:t>
      </w:r>
      <w:hyperlink r:id="rId10" w:history="1">
        <w:r w:rsidRPr="00336D23">
          <w:rPr>
            <w:rStyle w:val="Hyperlink"/>
            <w:rFonts w:ascii="Calibri" w:hAnsi="Calibri"/>
            <w:sz w:val="18"/>
            <w:szCs w:val="18"/>
          </w:rPr>
          <w:t>https://eupatentsmatter.com/unitary-patents-brief/</w:t>
        </w:r>
      </w:hyperlink>
    </w:p>
    <w:p w:rsidR="00FE35BC" w:rsidRPr="00C172F4" w:rsidRDefault="00C172F4" w:rsidP="00C172F4">
      <w:pPr>
        <w:pStyle w:val="Heading1"/>
        <w:spacing w:after="120"/>
        <w:rPr>
          <w:color w:val="00558C"/>
          <w:lang w:val="en-GB"/>
        </w:rPr>
      </w:pPr>
      <w:r w:rsidRPr="00C172F4">
        <w:rPr>
          <w:color w:val="00558C"/>
          <w:lang w:val="en-GB"/>
        </w:rPr>
        <w:t>Examination of the validity of a patent</w:t>
      </w:r>
    </w:p>
    <w:p w:rsidR="00C172F4" w:rsidRPr="00C172F4" w:rsidRDefault="00C172F4" w:rsidP="00C172F4">
      <w:pPr>
        <w:spacing w:after="120" w:line="276" w:lineRule="auto"/>
        <w:jc w:val="both"/>
        <w:rPr>
          <w:rFonts w:ascii="Calibri" w:hAnsi="Calibri"/>
          <w:b/>
          <w:color w:val="1F497D" w:themeColor="text2"/>
          <w:lang w:val="en-US"/>
        </w:rPr>
      </w:pPr>
      <w:r w:rsidRPr="00C172F4">
        <w:rPr>
          <w:rFonts w:ascii="Calibri" w:hAnsi="Calibri"/>
          <w:b/>
          <w:color w:val="1F497D" w:themeColor="text2"/>
          <w:lang w:val="en-US"/>
        </w:rPr>
        <w:t>Step 1: Is it an invention?</w:t>
      </w:r>
    </w:p>
    <w:p w:rsidR="00C172F4" w:rsidRPr="00C172F4" w:rsidRDefault="00C172F4" w:rsidP="00C172F4">
      <w:pPr>
        <w:pStyle w:val="BodyText"/>
        <w:rPr>
          <w:rFonts w:asciiTheme="minorHAnsi" w:hAnsiTheme="minorHAnsi" w:cstheme="minorHAnsi"/>
          <w:sz w:val="22"/>
          <w:szCs w:val="22"/>
          <w:lang w:val="en-GB"/>
        </w:rPr>
      </w:pPr>
      <w:r w:rsidRPr="00C172F4">
        <w:rPr>
          <w:rFonts w:asciiTheme="minorHAnsi" w:hAnsiTheme="minorHAnsi" w:cstheme="minorHAnsi"/>
          <w:sz w:val="22"/>
          <w:szCs w:val="22"/>
          <w:lang w:val="en-GB"/>
        </w:rPr>
        <w:t>In order to be qualified as an invention, it needs to be a technical solution for a technical problem.</w:t>
      </w:r>
    </w:p>
    <w:p w:rsidR="00C172F4" w:rsidRPr="00C172F4" w:rsidRDefault="00C172F4" w:rsidP="00C172F4">
      <w:pPr>
        <w:pStyle w:val="BodyText"/>
        <w:rPr>
          <w:rFonts w:asciiTheme="minorHAnsi" w:hAnsiTheme="minorHAnsi" w:cstheme="minorHAnsi"/>
          <w:sz w:val="22"/>
          <w:szCs w:val="22"/>
          <w:lang w:val="en-GB"/>
        </w:rPr>
      </w:pPr>
      <w:r w:rsidRPr="00C172F4">
        <w:rPr>
          <w:rFonts w:asciiTheme="minorHAnsi" w:hAnsiTheme="minorHAnsi" w:cstheme="minorHAnsi"/>
          <w:sz w:val="22"/>
          <w:szCs w:val="22"/>
          <w:lang w:val="en-GB"/>
        </w:rPr>
        <w:t xml:space="preserve">Nevertheless, there are some technical solutions which are qualified as inventions (because they are solving a technical problem) but still not patentable because they are explicitly excluded from patentability. </w:t>
      </w:r>
    </w:p>
    <w:p w:rsidR="00C172F4" w:rsidRPr="00C172F4" w:rsidRDefault="00C172F4" w:rsidP="00C172F4">
      <w:pPr>
        <w:spacing w:after="120" w:line="276" w:lineRule="auto"/>
        <w:jc w:val="both"/>
        <w:rPr>
          <w:rFonts w:ascii="Calibri" w:hAnsi="Calibri"/>
          <w:b/>
          <w:color w:val="1F497D" w:themeColor="text2"/>
          <w:lang w:val="en-US"/>
        </w:rPr>
      </w:pPr>
      <w:r w:rsidRPr="00C172F4">
        <w:rPr>
          <w:rFonts w:ascii="Calibri" w:hAnsi="Calibri"/>
          <w:b/>
          <w:color w:val="1F497D" w:themeColor="text2"/>
          <w:lang w:val="en-US"/>
        </w:rPr>
        <w:t>Step 2: Fulfillment of the patentability requirements?</w:t>
      </w:r>
    </w:p>
    <w:p w:rsidR="00C172F4" w:rsidRPr="00C172F4" w:rsidRDefault="00C172F4" w:rsidP="00C172F4">
      <w:pPr>
        <w:pStyle w:val="BodyText"/>
        <w:rPr>
          <w:rFonts w:asciiTheme="minorHAnsi" w:hAnsiTheme="minorHAnsi" w:cstheme="minorHAnsi"/>
          <w:sz w:val="22"/>
          <w:szCs w:val="22"/>
          <w:lang w:val="en-GB"/>
        </w:rPr>
      </w:pPr>
      <w:r w:rsidRPr="00C172F4">
        <w:rPr>
          <w:rFonts w:asciiTheme="minorHAnsi" w:hAnsiTheme="minorHAnsi" w:cstheme="minorHAnsi"/>
          <w:sz w:val="22"/>
          <w:szCs w:val="22"/>
          <w:lang w:val="en-GB"/>
        </w:rPr>
        <w:t>There are three substantive requirements: the invention needs to be novel, have an inventive step and be industrial applicable.</w:t>
      </w:r>
    </w:p>
    <w:p w:rsidR="00C172F4" w:rsidRPr="00C172F4" w:rsidRDefault="00C172F4" w:rsidP="00C172F4">
      <w:pPr>
        <w:pStyle w:val="BodyText"/>
        <w:rPr>
          <w:rFonts w:asciiTheme="minorHAnsi" w:hAnsiTheme="minorHAnsi" w:cstheme="minorHAnsi"/>
          <w:sz w:val="22"/>
          <w:szCs w:val="22"/>
          <w:lang w:val="en-GB"/>
        </w:rPr>
      </w:pPr>
      <w:r w:rsidRPr="00C172F4">
        <w:rPr>
          <w:rFonts w:asciiTheme="minorHAnsi" w:hAnsiTheme="minorHAnsi" w:cstheme="minorHAnsi"/>
          <w:sz w:val="22"/>
          <w:szCs w:val="22"/>
          <w:lang w:val="en-GB"/>
        </w:rPr>
        <w:t xml:space="preserve">Finally, there is one procedural requirement, namely the invention needs enabling disclosure to the public. </w:t>
      </w:r>
    </w:p>
    <w:p w:rsidR="005745C4" w:rsidRPr="00FC4162" w:rsidRDefault="00C172F4" w:rsidP="009826EE">
      <w:pPr>
        <w:pStyle w:val="Heading1"/>
        <w:spacing w:after="120"/>
        <w:rPr>
          <w:color w:val="00558C"/>
        </w:rPr>
      </w:pPr>
      <w:r>
        <w:rPr>
          <w:color w:val="00558C"/>
        </w:rPr>
        <w:t>Granting procedures: application and examination</w:t>
      </w:r>
    </w:p>
    <w:p w:rsidR="00C172F4" w:rsidRPr="00C172F4" w:rsidRDefault="00C172F4" w:rsidP="00C172F4">
      <w:pPr>
        <w:pStyle w:val="BodyText"/>
        <w:rPr>
          <w:rFonts w:asciiTheme="minorHAnsi" w:hAnsiTheme="minorHAnsi" w:cstheme="minorHAnsi"/>
          <w:sz w:val="22"/>
          <w:szCs w:val="22"/>
          <w:lang w:val="en-GB"/>
        </w:rPr>
      </w:pPr>
      <w:r w:rsidRPr="00C172F4">
        <w:rPr>
          <w:rFonts w:asciiTheme="minorHAnsi" w:hAnsiTheme="minorHAnsi" w:cstheme="minorHAnsi"/>
          <w:sz w:val="22"/>
          <w:szCs w:val="22"/>
          <w:lang w:val="en-GB"/>
        </w:rPr>
        <w:t>The granting procedure consists in an application and examination stage. The procedural steps depend on the chosen route:</w:t>
      </w:r>
    </w:p>
    <w:p w:rsidR="00C172F4" w:rsidRPr="00C172F4" w:rsidRDefault="00C172F4" w:rsidP="00C172F4">
      <w:pPr>
        <w:pStyle w:val="ListParagraph"/>
        <w:numPr>
          <w:ilvl w:val="0"/>
          <w:numId w:val="29"/>
        </w:numPr>
        <w:spacing w:line="276" w:lineRule="auto"/>
        <w:contextualSpacing/>
        <w:jc w:val="both"/>
        <w:rPr>
          <w:rFonts w:ascii="Calibri" w:hAnsi="Calibri"/>
          <w:color w:val="1F497D" w:themeColor="text2"/>
          <w:lang w:val="en-US"/>
        </w:rPr>
      </w:pPr>
      <w:r w:rsidRPr="00C172F4">
        <w:rPr>
          <w:rFonts w:ascii="Calibri" w:hAnsi="Calibri"/>
          <w:color w:val="1F497D" w:themeColor="text2"/>
          <w:lang w:val="en-US"/>
        </w:rPr>
        <w:t>National granting procedure</w:t>
      </w:r>
    </w:p>
    <w:p w:rsidR="00C172F4" w:rsidRDefault="00C172F4" w:rsidP="00C172F4">
      <w:pPr>
        <w:pStyle w:val="ListParagraph"/>
        <w:spacing w:after="120"/>
        <w:ind w:left="709"/>
        <w:jc w:val="both"/>
        <w:rPr>
          <w:rFonts w:ascii="Calibri" w:hAnsi="Calibri"/>
          <w:lang w:val="en-US"/>
        </w:rPr>
      </w:pPr>
      <w:r>
        <w:rPr>
          <w:rFonts w:ascii="Calibri" w:hAnsi="Calibri"/>
          <w:lang w:val="en-US"/>
        </w:rPr>
        <w:t>The patent application is governed by national patent legislation and is filed with the national patent office.</w:t>
      </w:r>
    </w:p>
    <w:p w:rsidR="00C172F4" w:rsidRPr="00C172F4" w:rsidRDefault="00C172F4" w:rsidP="00C172F4">
      <w:pPr>
        <w:pStyle w:val="ListParagraph"/>
        <w:numPr>
          <w:ilvl w:val="0"/>
          <w:numId w:val="29"/>
        </w:numPr>
        <w:spacing w:line="276" w:lineRule="auto"/>
        <w:contextualSpacing/>
        <w:jc w:val="both"/>
        <w:rPr>
          <w:rFonts w:ascii="Calibri" w:hAnsi="Calibri"/>
          <w:color w:val="1F497D" w:themeColor="text2"/>
          <w:lang w:val="en-US"/>
        </w:rPr>
      </w:pPr>
      <w:r w:rsidRPr="00C172F4">
        <w:rPr>
          <w:rFonts w:ascii="Calibri" w:hAnsi="Calibri"/>
          <w:color w:val="1F497D" w:themeColor="text2"/>
          <w:lang w:val="en-US"/>
        </w:rPr>
        <w:t>European granting procedure</w:t>
      </w:r>
    </w:p>
    <w:p w:rsidR="00C172F4" w:rsidRDefault="00C172F4" w:rsidP="00C172F4">
      <w:pPr>
        <w:pStyle w:val="ListParagraph"/>
        <w:spacing w:after="120"/>
        <w:ind w:left="709"/>
        <w:jc w:val="both"/>
        <w:rPr>
          <w:rFonts w:ascii="Calibri" w:hAnsi="Calibri"/>
          <w:lang w:val="en-US"/>
        </w:rPr>
      </w:pPr>
      <w:r>
        <w:rPr>
          <w:rFonts w:ascii="Calibri" w:hAnsi="Calibri"/>
          <w:lang w:val="en-US"/>
        </w:rPr>
        <w:t xml:space="preserve">The patent application is governed by the EPC and is characterized by one single application and examination procedure. </w:t>
      </w:r>
    </w:p>
    <w:p w:rsidR="00C172F4" w:rsidRDefault="00C172F4" w:rsidP="00C172F4">
      <w:pPr>
        <w:pStyle w:val="ListParagraph"/>
        <w:spacing w:after="120"/>
        <w:ind w:left="709"/>
        <w:jc w:val="both"/>
        <w:rPr>
          <w:rFonts w:ascii="Calibri" w:hAnsi="Calibri"/>
          <w:lang w:val="en-US"/>
        </w:rPr>
      </w:pPr>
      <w:r>
        <w:rPr>
          <w:rFonts w:ascii="Calibri" w:hAnsi="Calibri"/>
          <w:lang w:val="en-US"/>
        </w:rPr>
        <w:t>There are two main stages:</w:t>
      </w:r>
    </w:p>
    <w:p w:rsidR="00C172F4" w:rsidRDefault="00C172F4" w:rsidP="00C172F4">
      <w:pPr>
        <w:pStyle w:val="ListParagraph"/>
        <w:numPr>
          <w:ilvl w:val="0"/>
          <w:numId w:val="30"/>
        </w:numPr>
        <w:spacing w:line="276" w:lineRule="auto"/>
        <w:ind w:left="1134" w:hanging="425"/>
        <w:contextualSpacing/>
        <w:jc w:val="both"/>
        <w:rPr>
          <w:rFonts w:ascii="Calibri" w:hAnsi="Calibri"/>
          <w:lang w:val="en-US"/>
        </w:rPr>
      </w:pPr>
      <w:r>
        <w:rPr>
          <w:rFonts w:ascii="Calibri" w:hAnsi="Calibri"/>
          <w:lang w:val="en-US"/>
        </w:rPr>
        <w:t xml:space="preserve">Examination of the formalities which is limited to a novelty search. </w:t>
      </w:r>
    </w:p>
    <w:p w:rsidR="00C172F4" w:rsidRDefault="00C172F4" w:rsidP="00C172F4">
      <w:pPr>
        <w:pStyle w:val="ListParagraph"/>
        <w:spacing w:line="276" w:lineRule="auto"/>
        <w:ind w:left="1134"/>
        <w:jc w:val="both"/>
        <w:rPr>
          <w:rFonts w:ascii="Calibri" w:hAnsi="Calibri"/>
          <w:lang w:val="en-US"/>
        </w:rPr>
      </w:pPr>
      <w:r>
        <w:rPr>
          <w:rFonts w:ascii="Calibri" w:hAnsi="Calibri"/>
          <w:lang w:val="en-US"/>
        </w:rPr>
        <w:lastRenderedPageBreak/>
        <w:t>Result? A patent as filed in its unexamined form</w:t>
      </w:r>
    </w:p>
    <w:p w:rsidR="00C172F4" w:rsidRDefault="00C172F4" w:rsidP="00C172F4">
      <w:pPr>
        <w:pStyle w:val="ListParagraph"/>
        <w:numPr>
          <w:ilvl w:val="0"/>
          <w:numId w:val="30"/>
        </w:numPr>
        <w:spacing w:line="276" w:lineRule="auto"/>
        <w:ind w:left="1134" w:hanging="425"/>
        <w:contextualSpacing/>
        <w:jc w:val="both"/>
        <w:rPr>
          <w:rFonts w:ascii="Calibri" w:hAnsi="Calibri"/>
          <w:lang w:val="en-US"/>
        </w:rPr>
      </w:pPr>
      <w:r>
        <w:rPr>
          <w:rFonts w:ascii="Calibri" w:hAnsi="Calibri"/>
          <w:lang w:val="en-US"/>
        </w:rPr>
        <w:t>Substantive examination resulting in</w:t>
      </w:r>
    </w:p>
    <w:p w:rsidR="00C172F4" w:rsidRDefault="00C172F4" w:rsidP="00C172F4">
      <w:pPr>
        <w:pStyle w:val="ListParagraph"/>
        <w:spacing w:after="120" w:line="276" w:lineRule="auto"/>
        <w:ind w:left="1134"/>
        <w:jc w:val="both"/>
        <w:rPr>
          <w:rFonts w:ascii="Calibri" w:hAnsi="Calibri"/>
          <w:lang w:val="en-US"/>
        </w:rPr>
      </w:pPr>
      <w:r>
        <w:rPr>
          <w:rFonts w:ascii="Calibri" w:hAnsi="Calibri"/>
          <w:lang w:val="en-US"/>
        </w:rPr>
        <w:t xml:space="preserve">Result? A patent as filed after examination </w:t>
      </w:r>
    </w:p>
    <w:p w:rsidR="00C172F4" w:rsidRPr="003C6178" w:rsidRDefault="00C172F4" w:rsidP="00C172F4">
      <w:pPr>
        <w:spacing w:line="276" w:lineRule="auto"/>
        <w:jc w:val="both"/>
        <w:rPr>
          <w:rFonts w:ascii="Calibri" w:hAnsi="Calibri"/>
          <w:lang w:val="en-US"/>
        </w:rPr>
      </w:pPr>
      <w:r>
        <w:rPr>
          <w:rFonts w:ascii="Calibri" w:hAnsi="Calibri"/>
          <w:lang w:val="en-US"/>
        </w:rPr>
        <w:tab/>
        <w:t>The examination procedure shall result in:</w:t>
      </w:r>
    </w:p>
    <w:p w:rsidR="00C172F4" w:rsidRDefault="00C172F4" w:rsidP="00C172F4">
      <w:pPr>
        <w:pStyle w:val="ListParagraph"/>
        <w:numPr>
          <w:ilvl w:val="1"/>
          <w:numId w:val="30"/>
        </w:numPr>
        <w:spacing w:line="276" w:lineRule="auto"/>
        <w:ind w:left="1134" w:hanging="425"/>
        <w:contextualSpacing/>
        <w:jc w:val="both"/>
        <w:rPr>
          <w:rFonts w:ascii="Calibri" w:hAnsi="Calibri"/>
          <w:lang w:val="en-US"/>
        </w:rPr>
      </w:pPr>
      <w:r>
        <w:rPr>
          <w:rFonts w:ascii="Calibri" w:hAnsi="Calibri"/>
          <w:lang w:val="en-US"/>
        </w:rPr>
        <w:t>Grant of the patent</w:t>
      </w:r>
    </w:p>
    <w:p w:rsidR="00C172F4" w:rsidRDefault="00C172F4" w:rsidP="00C172F4">
      <w:pPr>
        <w:pStyle w:val="ListParagraph"/>
        <w:numPr>
          <w:ilvl w:val="1"/>
          <w:numId w:val="30"/>
        </w:numPr>
        <w:spacing w:line="276" w:lineRule="auto"/>
        <w:ind w:left="1134" w:hanging="425"/>
        <w:contextualSpacing/>
        <w:jc w:val="both"/>
        <w:rPr>
          <w:rFonts w:ascii="Calibri" w:hAnsi="Calibri"/>
          <w:lang w:val="en-US"/>
        </w:rPr>
      </w:pPr>
      <w:r>
        <w:rPr>
          <w:rFonts w:ascii="Calibri" w:hAnsi="Calibri"/>
          <w:lang w:val="en-US"/>
        </w:rPr>
        <w:t>Grant of a patent but scope limitation</w:t>
      </w:r>
    </w:p>
    <w:p w:rsidR="00C172F4" w:rsidRDefault="00C172F4" w:rsidP="00C172F4">
      <w:pPr>
        <w:pStyle w:val="ListParagraph"/>
        <w:numPr>
          <w:ilvl w:val="1"/>
          <w:numId w:val="30"/>
        </w:numPr>
        <w:spacing w:after="120" w:line="276" w:lineRule="auto"/>
        <w:ind w:left="1134" w:hanging="425"/>
        <w:jc w:val="both"/>
        <w:rPr>
          <w:rFonts w:ascii="Calibri" w:hAnsi="Calibri"/>
          <w:lang w:val="en-US"/>
        </w:rPr>
      </w:pPr>
      <w:r>
        <w:rPr>
          <w:rFonts w:ascii="Calibri" w:hAnsi="Calibri"/>
          <w:lang w:val="en-US"/>
        </w:rPr>
        <w:t>Refusal of the patent</w:t>
      </w:r>
    </w:p>
    <w:p w:rsidR="00C172F4" w:rsidRPr="00C172F4" w:rsidRDefault="00C172F4" w:rsidP="00C172F4">
      <w:pPr>
        <w:pStyle w:val="ListParagraph"/>
        <w:numPr>
          <w:ilvl w:val="0"/>
          <w:numId w:val="29"/>
        </w:numPr>
        <w:spacing w:line="276" w:lineRule="auto"/>
        <w:contextualSpacing/>
        <w:jc w:val="both"/>
        <w:rPr>
          <w:rFonts w:ascii="Calibri" w:hAnsi="Calibri"/>
          <w:color w:val="1F497D" w:themeColor="text2"/>
          <w:lang w:val="en-US"/>
        </w:rPr>
      </w:pPr>
      <w:r w:rsidRPr="00C172F4">
        <w:rPr>
          <w:rFonts w:ascii="Calibri" w:hAnsi="Calibri"/>
          <w:color w:val="1F497D" w:themeColor="text2"/>
          <w:lang w:val="en-US"/>
        </w:rPr>
        <w:t xml:space="preserve">International granting procedure </w:t>
      </w:r>
    </w:p>
    <w:p w:rsidR="00C172F4" w:rsidRDefault="00C172F4" w:rsidP="00C172F4">
      <w:pPr>
        <w:pStyle w:val="ListParagraph"/>
        <w:spacing w:after="120"/>
        <w:jc w:val="both"/>
        <w:rPr>
          <w:rFonts w:ascii="Calibri" w:hAnsi="Calibri"/>
          <w:lang w:val="en-US"/>
        </w:rPr>
      </w:pPr>
      <w:r>
        <w:rPr>
          <w:rFonts w:ascii="Calibri" w:hAnsi="Calibri"/>
          <w:lang w:val="en-US"/>
        </w:rPr>
        <w:t xml:space="preserve">A common way of pursuing patent rights outside the home country is to file an international-type patent application, also called the PCT- application. </w:t>
      </w:r>
    </w:p>
    <w:p w:rsidR="00C172F4" w:rsidRDefault="00C172F4" w:rsidP="00C172F4">
      <w:pPr>
        <w:pStyle w:val="ListParagraph"/>
        <w:spacing w:after="120"/>
        <w:jc w:val="both"/>
        <w:rPr>
          <w:rFonts w:ascii="Calibri" w:hAnsi="Calibri"/>
          <w:lang w:val="en-US"/>
        </w:rPr>
      </w:pPr>
      <w:r>
        <w:rPr>
          <w:rFonts w:ascii="Calibri" w:hAnsi="Calibri"/>
          <w:lang w:val="en-US"/>
        </w:rPr>
        <w:t>To pursue international patent protection, the candidate patent holder needs to file a priority patent application in his or her home country. The international patent application does not automatically lead to global patent protection but the patent holder needs to apply for patents in each of the countries and regions where patent protection is sought.</w:t>
      </w:r>
      <w:r w:rsidRPr="00CC720F">
        <w:rPr>
          <w:rFonts w:ascii="Calibri" w:hAnsi="Calibri"/>
          <w:lang w:val="en-US"/>
        </w:rPr>
        <w:t xml:space="preserve"> </w:t>
      </w:r>
      <w:r>
        <w:rPr>
          <w:rFonts w:ascii="Calibri" w:hAnsi="Calibri"/>
          <w:lang w:val="en-US"/>
        </w:rPr>
        <w:t>Hence, t</w:t>
      </w:r>
      <w:r w:rsidRPr="00CC720F">
        <w:rPr>
          <w:rFonts w:ascii="Calibri" w:hAnsi="Calibri"/>
          <w:lang w:val="en-US"/>
        </w:rPr>
        <w:t>here is only one application which launches the procedure in these national courts. The final decision is national.</w:t>
      </w:r>
    </w:p>
    <w:p w:rsidR="00C172F4" w:rsidRDefault="00C172F4" w:rsidP="00C172F4">
      <w:pPr>
        <w:pStyle w:val="ListParagraph"/>
        <w:spacing w:after="120"/>
        <w:jc w:val="both"/>
        <w:rPr>
          <w:rFonts w:ascii="Calibri" w:hAnsi="Calibri"/>
          <w:lang w:val="en-US"/>
        </w:rPr>
      </w:pPr>
      <w:r>
        <w:rPr>
          <w:rFonts w:ascii="Calibri" w:hAnsi="Calibri"/>
          <w:lang w:val="en-US"/>
        </w:rPr>
        <w:t>After the international stage, the candidate patent holder has the choice:</w:t>
      </w:r>
    </w:p>
    <w:p w:rsidR="00C172F4" w:rsidRDefault="00C172F4" w:rsidP="004C1837">
      <w:pPr>
        <w:pStyle w:val="ListParagraph"/>
        <w:numPr>
          <w:ilvl w:val="0"/>
          <w:numId w:val="30"/>
        </w:numPr>
        <w:spacing w:after="120"/>
        <w:ind w:left="1134" w:hanging="425"/>
        <w:jc w:val="both"/>
        <w:rPr>
          <w:rFonts w:ascii="Calibri" w:hAnsi="Calibri"/>
          <w:lang w:val="en-US"/>
        </w:rPr>
      </w:pPr>
      <w:r>
        <w:rPr>
          <w:rFonts w:ascii="Calibri" w:hAnsi="Calibri"/>
          <w:lang w:val="en-US"/>
        </w:rPr>
        <w:t>either he chooses the old-fashioned PCT - application route which follows the national procedure. This is the case when he wants to obtain patent protection in a few countries.</w:t>
      </w:r>
      <w:r w:rsidRPr="005E7075">
        <w:rPr>
          <w:rFonts w:ascii="Calibri" w:hAnsi="Calibri"/>
          <w:lang w:val="en-US"/>
        </w:rPr>
        <w:t xml:space="preserve"> </w:t>
      </w:r>
      <w:r>
        <w:rPr>
          <w:rFonts w:ascii="Calibri" w:hAnsi="Calibri"/>
          <w:lang w:val="en-US"/>
        </w:rPr>
        <w:t xml:space="preserve">The candidate patent holder </w:t>
      </w:r>
      <w:r w:rsidRPr="00CC720F">
        <w:rPr>
          <w:rFonts w:ascii="Calibri" w:hAnsi="Calibri"/>
          <w:lang w:val="en-US"/>
        </w:rPr>
        <w:t>push</w:t>
      </w:r>
      <w:r>
        <w:rPr>
          <w:rFonts w:ascii="Calibri" w:hAnsi="Calibri"/>
          <w:lang w:val="en-US"/>
        </w:rPr>
        <w:t>es</w:t>
      </w:r>
      <w:r w:rsidRPr="00CC720F">
        <w:rPr>
          <w:rFonts w:ascii="Calibri" w:hAnsi="Calibri"/>
          <w:lang w:val="en-US"/>
        </w:rPr>
        <w:t xml:space="preserve"> an international button and knock</w:t>
      </w:r>
      <w:r>
        <w:rPr>
          <w:rFonts w:ascii="Calibri" w:hAnsi="Calibri"/>
          <w:lang w:val="en-US"/>
        </w:rPr>
        <w:t>s</w:t>
      </w:r>
      <w:r w:rsidRPr="00CC720F">
        <w:rPr>
          <w:rFonts w:ascii="Calibri" w:hAnsi="Calibri"/>
          <w:lang w:val="en-US"/>
        </w:rPr>
        <w:t xml:space="preserve"> on the door of the PCT which then starts t</w:t>
      </w:r>
      <w:r w:rsidR="004C1837">
        <w:rPr>
          <w:rFonts w:ascii="Calibri" w:hAnsi="Calibri"/>
          <w:lang w:val="en-US"/>
        </w:rPr>
        <w:t>he procedure at national level.</w:t>
      </w:r>
    </w:p>
    <w:p w:rsidR="00C172F4" w:rsidRDefault="00C172F4" w:rsidP="004C1837">
      <w:pPr>
        <w:pStyle w:val="ListParagraph"/>
        <w:numPr>
          <w:ilvl w:val="0"/>
          <w:numId w:val="30"/>
        </w:numPr>
        <w:spacing w:after="120"/>
        <w:ind w:left="1134" w:hanging="425"/>
        <w:jc w:val="both"/>
        <w:rPr>
          <w:rFonts w:ascii="Calibri" w:hAnsi="Calibri"/>
          <w:lang w:val="en-US"/>
        </w:rPr>
      </w:pPr>
      <w:r>
        <w:rPr>
          <w:rFonts w:ascii="Calibri" w:hAnsi="Calibri"/>
          <w:lang w:val="en-US"/>
        </w:rPr>
        <w:t xml:space="preserve">- either he chooses the Euro-PCT route which involves an additional step known as the European validation. To pursue patent protection in Europe, the patent holder needs to file a single European patent application with the European Patent Office (EPO). In that case, the patent application generally follows the examination and granting procedure according the EPC. </w:t>
      </w:r>
    </w:p>
    <w:p w:rsidR="00FE35BC" w:rsidRPr="00FC4162" w:rsidRDefault="004D5221" w:rsidP="009826EE">
      <w:pPr>
        <w:pStyle w:val="Heading1"/>
        <w:spacing w:after="120"/>
        <w:rPr>
          <w:color w:val="00558C"/>
          <w:lang w:val="en-GB"/>
        </w:rPr>
      </w:pPr>
      <w:r w:rsidRPr="00FC4162">
        <w:rPr>
          <w:color w:val="00558C"/>
          <w:lang w:val="en-GB"/>
        </w:rPr>
        <w:t>Action requested</w:t>
      </w:r>
    </w:p>
    <w:p w:rsidR="00FE35BC" w:rsidRPr="00E34451" w:rsidRDefault="005745C4" w:rsidP="00A446C9">
      <w:pPr>
        <w:pStyle w:val="BodyText"/>
        <w:rPr>
          <w:rFonts w:ascii="Calibri" w:hAnsi="Calibri" w:cs="Calibri"/>
          <w:sz w:val="22"/>
          <w:szCs w:val="22"/>
          <w:lang w:val="en-GB"/>
        </w:rPr>
      </w:pPr>
      <w:r>
        <w:rPr>
          <w:rFonts w:asciiTheme="minorHAnsi" w:hAnsiTheme="minorHAnsi" w:cstheme="minorHAnsi"/>
          <w:sz w:val="22"/>
          <w:szCs w:val="22"/>
          <w:lang w:val="en-GB" w:eastAsia="de-DE"/>
        </w:rPr>
        <w:t xml:space="preserve">The LAP is invited to take </w:t>
      </w:r>
      <w:r w:rsidRPr="009826EE">
        <w:rPr>
          <w:rFonts w:asciiTheme="minorHAnsi" w:hAnsiTheme="minorHAnsi" w:cstheme="minorHAnsi"/>
          <w:b/>
          <w:sz w:val="22"/>
          <w:szCs w:val="22"/>
          <w:lang w:val="en-GB" w:eastAsia="de-DE"/>
        </w:rPr>
        <w:t>note</w:t>
      </w:r>
      <w:r w:rsidR="004C1837">
        <w:rPr>
          <w:rFonts w:asciiTheme="minorHAnsi" w:hAnsiTheme="minorHAnsi" w:cstheme="minorHAnsi"/>
          <w:sz w:val="22"/>
          <w:szCs w:val="22"/>
          <w:lang w:val="en-GB" w:eastAsia="de-DE"/>
        </w:rPr>
        <w:t xml:space="preserve"> of this</w:t>
      </w:r>
      <w:r>
        <w:rPr>
          <w:rFonts w:asciiTheme="minorHAnsi" w:hAnsiTheme="minorHAnsi" w:cstheme="minorHAnsi"/>
          <w:sz w:val="22"/>
          <w:szCs w:val="22"/>
          <w:lang w:val="en-GB" w:eastAsia="de-DE"/>
        </w:rPr>
        <w:t xml:space="preserve"> </w:t>
      </w:r>
      <w:r w:rsidR="004C1837">
        <w:rPr>
          <w:rFonts w:asciiTheme="minorHAnsi" w:hAnsiTheme="minorHAnsi" w:cstheme="minorHAnsi"/>
          <w:sz w:val="22"/>
          <w:szCs w:val="22"/>
          <w:lang w:val="en-GB" w:eastAsia="de-DE"/>
        </w:rPr>
        <w:t>information</w:t>
      </w:r>
      <w:r w:rsidR="004D5221" w:rsidRPr="00832FD7">
        <w:rPr>
          <w:rFonts w:asciiTheme="minorHAnsi" w:hAnsiTheme="minorHAnsi" w:cstheme="minorHAnsi"/>
          <w:sz w:val="22"/>
          <w:szCs w:val="22"/>
          <w:lang w:val="en-GB" w:eastAsia="de-DE"/>
        </w:rPr>
        <w:t>.</w:t>
      </w:r>
    </w:p>
    <w:sectPr w:rsidR="00FE35BC" w:rsidRPr="00E34451" w:rsidSect="00A27AE7">
      <w:headerReference w:type="default" r:id="rId11"/>
      <w:footerReference w:type="default" r:id="rId12"/>
      <w:type w:val="continuous"/>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3EEA" w:rsidRDefault="00173EEA" w:rsidP="00362CD9">
      <w:r>
        <w:separator/>
      </w:r>
    </w:p>
  </w:endnote>
  <w:endnote w:type="continuationSeparator" w:id="0">
    <w:p w:rsidR="00173EEA" w:rsidRDefault="00173EEA"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altName w:val="Arial"/>
    <w:panose1 w:val="020B0704020202020204"/>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35BC" w:rsidRPr="00036B9E" w:rsidRDefault="00FE35BC">
    <w:pPr>
      <w:pStyle w:val="Footer"/>
      <w:rPr>
        <w:rFonts w:ascii="Calibri" w:hAnsi="Calibri" w:cs="Calibri"/>
      </w:rPr>
    </w:pPr>
    <w:r w:rsidRPr="00036B9E">
      <w:rPr>
        <w:rFonts w:ascii="Calibri" w:hAnsi="Calibri" w:cs="Calibri"/>
      </w:rPr>
      <w:tab/>
    </w:r>
    <w:r w:rsidRPr="00036B9E">
      <w:rPr>
        <w:rFonts w:ascii="Calibri" w:hAnsi="Calibri" w:cs="Calibri"/>
      </w:rPr>
      <w:fldChar w:fldCharType="begin"/>
    </w:r>
    <w:r w:rsidRPr="00036B9E">
      <w:rPr>
        <w:rFonts w:ascii="Calibri" w:hAnsi="Calibri" w:cs="Calibri"/>
      </w:rPr>
      <w:instrText xml:space="preserve"> PAGE   \* MERGEFORMAT </w:instrText>
    </w:r>
    <w:r w:rsidRPr="00036B9E">
      <w:rPr>
        <w:rFonts w:ascii="Calibri" w:hAnsi="Calibri" w:cs="Calibri"/>
      </w:rPr>
      <w:fldChar w:fldCharType="separate"/>
    </w:r>
    <w:r w:rsidR="00225FC0">
      <w:rPr>
        <w:rFonts w:ascii="Calibri" w:hAnsi="Calibri" w:cs="Calibri"/>
        <w:noProof/>
      </w:rPr>
      <w:t>3</w:t>
    </w:r>
    <w:r w:rsidRPr="00036B9E">
      <w:rPr>
        <w:rFonts w:ascii="Calibri" w:hAnsi="Calibri" w:cs="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3EEA" w:rsidRDefault="00173EEA" w:rsidP="00362CD9">
      <w:r>
        <w:separator/>
      </w:r>
    </w:p>
  </w:footnote>
  <w:footnote w:type="continuationSeparator" w:id="0">
    <w:p w:rsidR="00173EEA" w:rsidRDefault="00173EEA"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162" w:rsidRDefault="00FC4162" w:rsidP="007A395D">
    <w:pPr>
      <w:pStyle w:val="Header"/>
      <w:jc w:val="right"/>
    </w:pPr>
    <w:r>
      <w:rPr>
        <w:noProof/>
        <w:lang w:val="en-IE" w:eastAsia="en-IE"/>
      </w:rPr>
      <w:drawing>
        <wp:anchor distT="0" distB="0" distL="114300" distR="114300" simplePos="0" relativeHeight="251659776" behindDoc="0" locked="0" layoutInCell="1" allowOverlap="1" wp14:anchorId="56FA1FC3" wp14:editId="54A16051">
          <wp:simplePos x="0" y="0"/>
          <wp:positionH relativeFrom="column">
            <wp:posOffset>6120130</wp:posOffset>
          </wp:positionH>
          <wp:positionV relativeFrom="paragraph">
            <wp:posOffset>-192405</wp:posOffset>
          </wp:positionV>
          <wp:extent cx="574675" cy="560070"/>
          <wp:effectExtent l="0" t="0" r="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675" cy="560070"/>
                  </a:xfrm>
                  <a:prstGeom prst="rect">
                    <a:avLst/>
                  </a:prstGeom>
                  <a:noFill/>
                </pic:spPr>
              </pic:pic>
            </a:graphicData>
          </a:graphic>
          <wp14:sizeRelH relativeFrom="page">
            <wp14:pctWidth>0</wp14:pctWidth>
          </wp14:sizeRelH>
          <wp14:sizeRelV relativeFrom="page">
            <wp14:pctHeight>0</wp14:pctHeight>
          </wp14:sizeRelV>
        </wp:anchor>
      </w:drawing>
    </w:r>
  </w:p>
  <w:p w:rsidR="00FE35BC" w:rsidRDefault="000C4D4B" w:rsidP="007A395D">
    <w:pPr>
      <w:pStyle w:val="Header"/>
      <w:jc w:val="right"/>
      <w:rPr>
        <w:rFonts w:asciiTheme="minorHAnsi" w:hAnsiTheme="minorHAnsi" w:cstheme="minorHAnsi"/>
      </w:rPr>
    </w:pPr>
    <w:r>
      <w:rPr>
        <w:rFonts w:asciiTheme="minorHAnsi" w:hAnsiTheme="minorHAnsi" w:cstheme="minorHAnsi"/>
      </w:rPr>
      <w:t>LAP18-9</w:t>
    </w:r>
    <w:r w:rsidR="005745C4">
      <w:rPr>
        <w:rFonts w:asciiTheme="minorHAnsi" w:hAnsiTheme="minorHAnsi" w:cstheme="minorHAnsi"/>
      </w:rPr>
      <w:t>.1</w:t>
    </w:r>
  </w:p>
  <w:p w:rsidR="00FC4162" w:rsidRPr="00FC4162" w:rsidRDefault="00FC4162" w:rsidP="007A395D">
    <w:pPr>
      <w:pStyle w:val="Header"/>
      <w:jc w:val="right"/>
      <w:rPr>
        <w:rFonts w:asciiTheme="minorHAnsi" w:hAnsiTheme="minorHAnsi" w:cstheme="minorHAns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Arial Bold" w:hint="default"/>
        <w:b/>
        <w:bCs/>
        <w:i w:val="0"/>
        <w:iCs w:val="0"/>
        <w:caps/>
        <w:smallCaps w:val="0"/>
        <w:strike w:val="0"/>
        <w:dstrike w:val="0"/>
        <w:vanish w:val="0"/>
        <w:color w:val="auto"/>
        <w:spacing w:val="0"/>
        <w:w w:val="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nsid w:val="083F1BC4"/>
    <w:multiLevelType w:val="hybridMultilevel"/>
    <w:tmpl w:val="DF6609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8FB3291"/>
    <w:multiLevelType w:val="hybridMultilevel"/>
    <w:tmpl w:val="F0708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Arial Bold" w:hint="default"/>
        <w:b/>
        <w:bCs/>
        <w:i w:val="0"/>
        <w:iCs w:val="0"/>
        <w:sz w:val="24"/>
        <w:szCs w:val="24"/>
      </w:rPr>
    </w:lvl>
    <w:lvl w:ilvl="1">
      <w:start w:val="1"/>
      <w:numFmt w:val="decimal"/>
      <w:pStyle w:val="AnnexHeading2"/>
      <w:lvlText w:val="%1.%2"/>
      <w:lvlJc w:val="left"/>
      <w:pPr>
        <w:tabs>
          <w:tab w:val="num" w:pos="851"/>
        </w:tabs>
        <w:ind w:left="851" w:hanging="851"/>
      </w:pPr>
      <w:rPr>
        <w:rFonts w:ascii="Arial Bold" w:hAnsi="Arial Bold" w:cs="Arial Bold" w:hint="default"/>
        <w:b/>
        <w:bCs/>
        <w:i w:val="0"/>
        <w:iCs w:val="0"/>
        <w:sz w:val="22"/>
        <w:szCs w:val="22"/>
      </w:rPr>
    </w:lvl>
    <w:lvl w:ilvl="2">
      <w:start w:val="1"/>
      <w:numFmt w:val="decimal"/>
      <w:pStyle w:val="AnnexHeading3"/>
      <w:lvlText w:val="%2.%3.%1"/>
      <w:lvlJc w:val="left"/>
      <w:pPr>
        <w:tabs>
          <w:tab w:val="num" w:pos="992"/>
        </w:tabs>
        <w:ind w:left="992" w:hanging="992"/>
      </w:pPr>
      <w:rPr>
        <w:rFonts w:ascii="Arial" w:hAnsi="Arial" w:cs="Arial" w:hint="default"/>
        <w:b w:val="0"/>
        <w:bCs w:val="0"/>
        <w:i w:val="0"/>
        <w:iCs w:val="0"/>
        <w:sz w:val="22"/>
        <w:szCs w:val="22"/>
      </w:rPr>
    </w:lvl>
    <w:lvl w:ilvl="3">
      <w:start w:val="1"/>
      <w:numFmt w:val="decimal"/>
      <w:pStyle w:val="AnnexHeading4"/>
      <w:lvlText w:val="%1.%2.%3.%4"/>
      <w:lvlJc w:val="left"/>
      <w:pPr>
        <w:tabs>
          <w:tab w:val="num" w:pos="1134"/>
        </w:tabs>
        <w:ind w:left="1134" w:hanging="1134"/>
      </w:pPr>
      <w:rPr>
        <w:rFonts w:ascii="Arial" w:hAnsi="Arial" w:cs="Arial" w:hint="default"/>
        <w:b w:val="0"/>
        <w:bCs w:val="0"/>
        <w:i w:val="0"/>
        <w:iCs w:val="0"/>
        <w:sz w:val="22"/>
        <w:szCs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0D315525"/>
    <w:multiLevelType w:val="hybridMultilevel"/>
    <w:tmpl w:val="7F5699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BF23678"/>
    <w:multiLevelType w:val="hybridMultilevel"/>
    <w:tmpl w:val="A41EA3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2BB1825"/>
    <w:multiLevelType w:val="hybridMultilevel"/>
    <w:tmpl w:val="451467EE"/>
    <w:lvl w:ilvl="0" w:tplc="E5A234E4">
      <w:start w:val="1"/>
      <w:numFmt w:val="bullet"/>
      <w:lvlText w:val=""/>
      <w:lvlJc w:val="left"/>
      <w:pPr>
        <w:ind w:left="2148" w:hanging="360"/>
      </w:pPr>
      <w:rPr>
        <w:rFonts w:ascii="Symbol" w:hAnsi="Symbol" w:hint="default"/>
      </w:rPr>
    </w:lvl>
    <w:lvl w:ilvl="1" w:tplc="08130003">
      <w:start w:val="1"/>
      <w:numFmt w:val="bullet"/>
      <w:lvlText w:val="o"/>
      <w:lvlJc w:val="left"/>
      <w:pPr>
        <w:ind w:left="2868" w:hanging="360"/>
      </w:pPr>
      <w:rPr>
        <w:rFonts w:ascii="Courier New" w:hAnsi="Courier New" w:cs="Courier New" w:hint="default"/>
      </w:rPr>
    </w:lvl>
    <w:lvl w:ilvl="2" w:tplc="08130005" w:tentative="1">
      <w:start w:val="1"/>
      <w:numFmt w:val="bullet"/>
      <w:lvlText w:val=""/>
      <w:lvlJc w:val="left"/>
      <w:pPr>
        <w:ind w:left="3588" w:hanging="360"/>
      </w:pPr>
      <w:rPr>
        <w:rFonts w:ascii="Wingdings" w:hAnsi="Wingdings" w:hint="default"/>
      </w:rPr>
    </w:lvl>
    <w:lvl w:ilvl="3" w:tplc="08130001" w:tentative="1">
      <w:start w:val="1"/>
      <w:numFmt w:val="bullet"/>
      <w:lvlText w:val=""/>
      <w:lvlJc w:val="left"/>
      <w:pPr>
        <w:ind w:left="4308" w:hanging="360"/>
      </w:pPr>
      <w:rPr>
        <w:rFonts w:ascii="Symbol" w:hAnsi="Symbol" w:hint="default"/>
      </w:rPr>
    </w:lvl>
    <w:lvl w:ilvl="4" w:tplc="08130003" w:tentative="1">
      <w:start w:val="1"/>
      <w:numFmt w:val="bullet"/>
      <w:lvlText w:val="o"/>
      <w:lvlJc w:val="left"/>
      <w:pPr>
        <w:ind w:left="5028" w:hanging="360"/>
      </w:pPr>
      <w:rPr>
        <w:rFonts w:ascii="Courier New" w:hAnsi="Courier New" w:cs="Courier New" w:hint="default"/>
      </w:rPr>
    </w:lvl>
    <w:lvl w:ilvl="5" w:tplc="08130005" w:tentative="1">
      <w:start w:val="1"/>
      <w:numFmt w:val="bullet"/>
      <w:lvlText w:val=""/>
      <w:lvlJc w:val="left"/>
      <w:pPr>
        <w:ind w:left="5748" w:hanging="360"/>
      </w:pPr>
      <w:rPr>
        <w:rFonts w:ascii="Wingdings" w:hAnsi="Wingdings" w:hint="default"/>
      </w:rPr>
    </w:lvl>
    <w:lvl w:ilvl="6" w:tplc="08130001" w:tentative="1">
      <w:start w:val="1"/>
      <w:numFmt w:val="bullet"/>
      <w:lvlText w:val=""/>
      <w:lvlJc w:val="left"/>
      <w:pPr>
        <w:ind w:left="6468" w:hanging="360"/>
      </w:pPr>
      <w:rPr>
        <w:rFonts w:ascii="Symbol" w:hAnsi="Symbol" w:hint="default"/>
      </w:rPr>
    </w:lvl>
    <w:lvl w:ilvl="7" w:tplc="08130003" w:tentative="1">
      <w:start w:val="1"/>
      <w:numFmt w:val="bullet"/>
      <w:lvlText w:val="o"/>
      <w:lvlJc w:val="left"/>
      <w:pPr>
        <w:ind w:left="7188" w:hanging="360"/>
      </w:pPr>
      <w:rPr>
        <w:rFonts w:ascii="Courier New" w:hAnsi="Courier New" w:cs="Courier New" w:hint="default"/>
      </w:rPr>
    </w:lvl>
    <w:lvl w:ilvl="8" w:tplc="08130005" w:tentative="1">
      <w:start w:val="1"/>
      <w:numFmt w:val="bullet"/>
      <w:lvlText w:val=""/>
      <w:lvlJc w:val="left"/>
      <w:pPr>
        <w:ind w:left="7908" w:hanging="360"/>
      </w:pPr>
      <w:rPr>
        <w:rFonts w:ascii="Wingdings" w:hAnsi="Wingdings" w:hint="default"/>
      </w:rPr>
    </w:lvl>
  </w:abstractNum>
  <w:abstractNum w:abstractNumId="9">
    <w:nsid w:val="23216000"/>
    <w:multiLevelType w:val="hybridMultilevel"/>
    <w:tmpl w:val="579C87A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nsid w:val="24BD25AC"/>
    <w:multiLevelType w:val="hybridMultilevel"/>
    <w:tmpl w:val="BBFA0146"/>
    <w:lvl w:ilvl="0" w:tplc="BC663F96">
      <w:start w:val="8"/>
      <w:numFmt w:val="bullet"/>
      <w:lvlText w:val="-"/>
      <w:lvlJc w:val="left"/>
      <w:pPr>
        <w:tabs>
          <w:tab w:val="num" w:pos="720"/>
        </w:tabs>
        <w:ind w:left="720" w:hanging="360"/>
      </w:pPr>
      <w:rPr>
        <w:rFonts w:ascii="Calibri" w:eastAsia="Times New Roman" w:hAnsi="Calibri"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nsid w:val="254A4879"/>
    <w:multiLevelType w:val="multilevel"/>
    <w:tmpl w:val="04090023"/>
    <w:styleLink w:val="ArticleSection"/>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33F20AF8"/>
    <w:multiLevelType w:val="hybridMultilevel"/>
    <w:tmpl w:val="18B2DA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Arial" w:hint="default"/>
        <w:b/>
        <w:bCs/>
        <w:i w:val="0"/>
        <w:iCs w:val="0"/>
        <w:sz w:val="24"/>
        <w:szCs w:val="24"/>
      </w:rPr>
    </w:lvl>
    <w:lvl w:ilvl="1">
      <w:start w:val="1"/>
      <w:numFmt w:val="decimal"/>
      <w:pStyle w:val="AppendixHeading2"/>
      <w:lvlText w:val="%1.%2"/>
      <w:lvlJc w:val="left"/>
      <w:pPr>
        <w:tabs>
          <w:tab w:val="num" w:pos="851"/>
        </w:tabs>
        <w:ind w:left="851" w:hanging="851"/>
      </w:pPr>
      <w:rPr>
        <w:rFonts w:ascii="Arial" w:hAnsi="Arial" w:cs="Arial" w:hint="default"/>
        <w:b/>
        <w:bCs/>
        <w:i w:val="0"/>
        <w:iCs w:val="0"/>
        <w:sz w:val="22"/>
        <w:szCs w:val="22"/>
      </w:rPr>
    </w:lvl>
    <w:lvl w:ilvl="2">
      <w:start w:val="1"/>
      <w:numFmt w:val="decimal"/>
      <w:pStyle w:val="AppendixHeading3"/>
      <w:lvlText w:val="%1.%2.%3"/>
      <w:lvlJc w:val="left"/>
      <w:pPr>
        <w:tabs>
          <w:tab w:val="num" w:pos="992"/>
        </w:tabs>
        <w:ind w:left="992" w:hanging="992"/>
      </w:pPr>
      <w:rPr>
        <w:rFonts w:ascii="Arial" w:hAnsi="Arial" w:cs="Arial" w:hint="default"/>
        <w:b w:val="0"/>
        <w:bCs w:val="0"/>
        <w:i w:val="0"/>
        <w:iCs w:val="0"/>
        <w:sz w:val="22"/>
        <w:szCs w:val="22"/>
      </w:rPr>
    </w:lvl>
    <w:lvl w:ilvl="3">
      <w:start w:val="1"/>
      <w:numFmt w:val="decimal"/>
      <w:pStyle w:val="AppendixHeading4"/>
      <w:lvlText w:val="%1.%2.%3.%4"/>
      <w:lvlJc w:val="left"/>
      <w:pPr>
        <w:tabs>
          <w:tab w:val="num" w:pos="1134"/>
        </w:tabs>
        <w:ind w:left="1134" w:hanging="1134"/>
      </w:pPr>
      <w:rPr>
        <w:rFonts w:ascii="Arial" w:hAnsi="Arial" w:cs="Arial" w:hint="default"/>
        <w:b w:val="0"/>
        <w:bCs w:val="0"/>
        <w:i w:val="0"/>
        <w:iCs w:val="0"/>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E6B4F5D"/>
    <w:multiLevelType w:val="hybridMultilevel"/>
    <w:tmpl w:val="E932E71C"/>
    <w:lvl w:ilvl="0" w:tplc="E1C4E124">
      <w:start w:val="1"/>
      <w:numFmt w:val="decimal"/>
      <w:pStyle w:val="equation"/>
      <w:lvlText w:val="(equation %1)"/>
      <w:lvlJc w:val="right"/>
      <w:pPr>
        <w:ind w:left="8180" w:hanging="360"/>
      </w:pPr>
      <w:rPr>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900" w:hanging="360"/>
      </w:pPr>
    </w:lvl>
    <w:lvl w:ilvl="2" w:tplc="0809001B">
      <w:start w:val="1"/>
      <w:numFmt w:val="lowerRoman"/>
      <w:lvlText w:val="%3."/>
      <w:lvlJc w:val="right"/>
      <w:pPr>
        <w:ind w:left="9620" w:hanging="180"/>
      </w:pPr>
    </w:lvl>
    <w:lvl w:ilvl="3" w:tplc="0809000F">
      <w:start w:val="1"/>
      <w:numFmt w:val="decimal"/>
      <w:lvlText w:val="%4."/>
      <w:lvlJc w:val="left"/>
      <w:pPr>
        <w:ind w:left="10340" w:hanging="360"/>
      </w:pPr>
    </w:lvl>
    <w:lvl w:ilvl="4" w:tplc="08090019">
      <w:start w:val="1"/>
      <w:numFmt w:val="lowerLetter"/>
      <w:lvlText w:val="%5."/>
      <w:lvlJc w:val="left"/>
      <w:pPr>
        <w:ind w:left="11060" w:hanging="360"/>
      </w:pPr>
    </w:lvl>
    <w:lvl w:ilvl="5" w:tplc="0809001B">
      <w:start w:val="1"/>
      <w:numFmt w:val="lowerRoman"/>
      <w:lvlText w:val="%6."/>
      <w:lvlJc w:val="right"/>
      <w:pPr>
        <w:ind w:left="11780" w:hanging="180"/>
      </w:pPr>
    </w:lvl>
    <w:lvl w:ilvl="6" w:tplc="0809000F">
      <w:start w:val="1"/>
      <w:numFmt w:val="decimal"/>
      <w:lvlText w:val="%7."/>
      <w:lvlJc w:val="left"/>
      <w:pPr>
        <w:ind w:left="12500" w:hanging="360"/>
      </w:pPr>
    </w:lvl>
    <w:lvl w:ilvl="7" w:tplc="08090019">
      <w:start w:val="1"/>
      <w:numFmt w:val="lowerLetter"/>
      <w:lvlText w:val="%8."/>
      <w:lvlJc w:val="left"/>
      <w:pPr>
        <w:ind w:left="13220" w:hanging="360"/>
      </w:pPr>
    </w:lvl>
    <w:lvl w:ilvl="8" w:tplc="0809001B">
      <w:start w:val="1"/>
      <w:numFmt w:val="lowerRoman"/>
      <w:lvlText w:val="%9."/>
      <w:lvlJc w:val="right"/>
      <w:pPr>
        <w:ind w:left="13940" w:hanging="180"/>
      </w:p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6F30DFC"/>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nsid w:val="479B424D"/>
    <w:multiLevelType w:val="hybridMultilevel"/>
    <w:tmpl w:val="FA4A8BFE"/>
    <w:lvl w:ilvl="0" w:tplc="1C6A7210">
      <w:start w:val="1"/>
      <w:numFmt w:val="bullet"/>
      <w:pStyle w:val="Bullet3"/>
      <w:lvlText w:val=""/>
      <w:lvlJc w:val="left"/>
      <w:pPr>
        <w:ind w:left="720" w:hanging="360"/>
      </w:pPr>
      <w:rPr>
        <w:rFonts w:ascii="Wingdings" w:hAnsi="Wingdings" w:cs="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Arial" w:hint="default"/>
        <w:b w:val="0"/>
        <w:bCs w:val="0"/>
        <w:i/>
        <w:i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84A07FB"/>
    <w:multiLevelType w:val="hybridMultilevel"/>
    <w:tmpl w:val="74A69810"/>
    <w:lvl w:ilvl="0" w:tplc="D9D2073C">
      <w:start w:val="3"/>
      <w:numFmt w:val="bullet"/>
      <w:lvlText w:val="-"/>
      <w:lvlJc w:val="left"/>
      <w:pPr>
        <w:ind w:left="720" w:hanging="360"/>
      </w:pPr>
      <w:rPr>
        <w:rFonts w:ascii="Times New Roman" w:eastAsiaTheme="minorEastAsia" w:hAnsi="Times New Roman"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nsid w:val="4A8C31DD"/>
    <w:multiLevelType w:val="hybridMultilevel"/>
    <w:tmpl w:val="46EC3D80"/>
    <w:lvl w:ilvl="0" w:tplc="D0D2BED8">
      <w:start w:val="1"/>
      <w:numFmt w:val="bullet"/>
      <w:pStyle w:val="Bullet2"/>
      <w:lvlText w:val="-"/>
      <w:lvlJc w:val="left"/>
      <w:pPr>
        <w:ind w:left="2421" w:hanging="360"/>
      </w:pPr>
      <w:rPr>
        <w:rFonts w:ascii="Arial" w:hAnsi="Arial" w:cs="Arial" w:hint="default"/>
      </w:rPr>
    </w:lvl>
    <w:lvl w:ilvl="1" w:tplc="08090003">
      <w:start w:val="1"/>
      <w:numFmt w:val="bullet"/>
      <w:lvlText w:val="o"/>
      <w:lvlJc w:val="left"/>
      <w:pPr>
        <w:ind w:left="3141" w:hanging="360"/>
      </w:pPr>
      <w:rPr>
        <w:rFonts w:ascii="Courier New" w:hAnsi="Courier New" w:cs="Courier New" w:hint="default"/>
      </w:rPr>
    </w:lvl>
    <w:lvl w:ilvl="2" w:tplc="08090005">
      <w:start w:val="1"/>
      <w:numFmt w:val="bullet"/>
      <w:lvlText w:val=""/>
      <w:lvlJc w:val="left"/>
      <w:pPr>
        <w:ind w:left="3861" w:hanging="360"/>
      </w:pPr>
      <w:rPr>
        <w:rFonts w:ascii="Wingdings" w:hAnsi="Wingdings" w:cs="Wingdings" w:hint="default"/>
      </w:rPr>
    </w:lvl>
    <w:lvl w:ilvl="3" w:tplc="08090001">
      <w:start w:val="1"/>
      <w:numFmt w:val="bullet"/>
      <w:lvlText w:val=""/>
      <w:lvlJc w:val="left"/>
      <w:pPr>
        <w:ind w:left="4581" w:hanging="360"/>
      </w:pPr>
      <w:rPr>
        <w:rFonts w:ascii="Symbol" w:hAnsi="Symbol" w:cs="Symbol" w:hint="default"/>
      </w:rPr>
    </w:lvl>
    <w:lvl w:ilvl="4" w:tplc="08090003">
      <w:start w:val="1"/>
      <w:numFmt w:val="bullet"/>
      <w:lvlText w:val="o"/>
      <w:lvlJc w:val="left"/>
      <w:pPr>
        <w:ind w:left="5301" w:hanging="360"/>
      </w:pPr>
      <w:rPr>
        <w:rFonts w:ascii="Courier New" w:hAnsi="Courier New" w:cs="Courier New" w:hint="default"/>
      </w:rPr>
    </w:lvl>
    <w:lvl w:ilvl="5" w:tplc="08090005">
      <w:start w:val="1"/>
      <w:numFmt w:val="bullet"/>
      <w:lvlText w:val=""/>
      <w:lvlJc w:val="left"/>
      <w:pPr>
        <w:ind w:left="6021" w:hanging="360"/>
      </w:pPr>
      <w:rPr>
        <w:rFonts w:ascii="Wingdings" w:hAnsi="Wingdings" w:cs="Wingdings" w:hint="default"/>
      </w:rPr>
    </w:lvl>
    <w:lvl w:ilvl="6" w:tplc="08090001">
      <w:start w:val="1"/>
      <w:numFmt w:val="bullet"/>
      <w:lvlText w:val=""/>
      <w:lvlJc w:val="left"/>
      <w:pPr>
        <w:ind w:left="6741" w:hanging="360"/>
      </w:pPr>
      <w:rPr>
        <w:rFonts w:ascii="Symbol" w:hAnsi="Symbol" w:cs="Symbol" w:hint="default"/>
      </w:rPr>
    </w:lvl>
    <w:lvl w:ilvl="7" w:tplc="08090003">
      <w:start w:val="1"/>
      <w:numFmt w:val="bullet"/>
      <w:lvlText w:val="o"/>
      <w:lvlJc w:val="left"/>
      <w:pPr>
        <w:ind w:left="7461" w:hanging="360"/>
      </w:pPr>
      <w:rPr>
        <w:rFonts w:ascii="Courier New" w:hAnsi="Courier New" w:cs="Courier New" w:hint="default"/>
      </w:rPr>
    </w:lvl>
    <w:lvl w:ilvl="8" w:tplc="08090005">
      <w:start w:val="1"/>
      <w:numFmt w:val="bullet"/>
      <w:lvlText w:val=""/>
      <w:lvlJc w:val="left"/>
      <w:pPr>
        <w:ind w:left="8181" w:hanging="360"/>
      </w:pPr>
      <w:rPr>
        <w:rFonts w:ascii="Wingdings" w:hAnsi="Wingdings" w:cs="Wingdings" w:hint="default"/>
      </w:rPr>
    </w:lvl>
  </w:abstractNum>
  <w:abstractNum w:abstractNumId="21">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5C4B67C4"/>
    <w:multiLevelType w:val="hybridMultilevel"/>
    <w:tmpl w:val="1576A95C"/>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nsid w:val="5F5212C4"/>
    <w:multiLevelType w:val="hybridMultilevel"/>
    <w:tmpl w:val="493608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01C57C8"/>
    <w:multiLevelType w:val="hybridMultilevel"/>
    <w:tmpl w:val="807C7A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Arial" w:hint="default"/>
        <w:b w:val="0"/>
        <w:bCs w:val="0"/>
        <w:i/>
        <w:iCs/>
        <w:sz w:val="22"/>
        <w:szCs w:val="22"/>
      </w:rPr>
    </w:lvl>
  </w:abstractNum>
  <w:abstractNum w:abstractNumId="28">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Arial" w:hint="default"/>
        <w:b w:val="0"/>
        <w:bCs w:val="0"/>
        <w:i/>
        <w:i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6"/>
  </w:num>
  <w:num w:numId="2">
    <w:abstractNumId w:val="18"/>
  </w:num>
  <w:num w:numId="3">
    <w:abstractNumId w:val="3"/>
  </w:num>
  <w:num w:numId="4">
    <w:abstractNumId w:val="28"/>
  </w:num>
  <w:num w:numId="5">
    <w:abstractNumId w:val="13"/>
  </w:num>
  <w:num w:numId="6">
    <w:abstractNumId w:val="11"/>
  </w:num>
  <w:num w:numId="7">
    <w:abstractNumId w:val="21"/>
  </w:num>
  <w:num w:numId="8">
    <w:abstractNumId w:val="20"/>
  </w:num>
  <w:num w:numId="9">
    <w:abstractNumId w:val="27"/>
  </w:num>
  <w:num w:numId="10">
    <w:abstractNumId w:val="7"/>
  </w:num>
  <w:num w:numId="11">
    <w:abstractNumId w:val="22"/>
  </w:num>
  <w:num w:numId="12">
    <w:abstractNumId w:val="15"/>
  </w:num>
  <w:num w:numId="13">
    <w:abstractNumId w:val="14"/>
  </w:num>
  <w:num w:numId="14">
    <w:abstractNumId w:val="5"/>
  </w:num>
  <w:num w:numId="15">
    <w:abstractNumId w:val="17"/>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0"/>
  </w:num>
  <w:num w:numId="19">
    <w:abstractNumId w:val="16"/>
  </w:num>
  <w:num w:numId="20">
    <w:abstractNumId w:val="24"/>
  </w:num>
  <w:num w:numId="21">
    <w:abstractNumId w:val="6"/>
  </w:num>
  <w:num w:numId="22">
    <w:abstractNumId w:val="4"/>
  </w:num>
  <w:num w:numId="23">
    <w:abstractNumId w:val="25"/>
  </w:num>
  <w:num w:numId="24">
    <w:abstractNumId w:val="2"/>
  </w:num>
  <w:num w:numId="25">
    <w:abstractNumId w:val="12"/>
  </w:num>
  <w:num w:numId="26">
    <w:abstractNumId w:val="1"/>
  </w:num>
  <w:num w:numId="27">
    <w:abstractNumId w:val="19"/>
  </w:num>
  <w:num w:numId="28">
    <w:abstractNumId w:val="9"/>
  </w:num>
  <w:num w:numId="29">
    <w:abstractNumId w:val="23"/>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defaultTabStop w:val="720"/>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1563D"/>
    <w:rsid w:val="00016ACD"/>
    <w:rsid w:val="00036B9E"/>
    <w:rsid w:val="00037DF4"/>
    <w:rsid w:val="0004700E"/>
    <w:rsid w:val="00070C13"/>
    <w:rsid w:val="000715C9"/>
    <w:rsid w:val="00084F33"/>
    <w:rsid w:val="000A77A7"/>
    <w:rsid w:val="000B1707"/>
    <w:rsid w:val="000B3622"/>
    <w:rsid w:val="000C1B3E"/>
    <w:rsid w:val="000C349E"/>
    <w:rsid w:val="000C4D4B"/>
    <w:rsid w:val="00110AE7"/>
    <w:rsid w:val="00154A76"/>
    <w:rsid w:val="00173EEA"/>
    <w:rsid w:val="00176CDE"/>
    <w:rsid w:val="00177F4D"/>
    <w:rsid w:val="00180DDA"/>
    <w:rsid w:val="00197F97"/>
    <w:rsid w:val="001B2A2D"/>
    <w:rsid w:val="001B737D"/>
    <w:rsid w:val="001C44A3"/>
    <w:rsid w:val="001C7068"/>
    <w:rsid w:val="001E0E15"/>
    <w:rsid w:val="001F528A"/>
    <w:rsid w:val="001F704E"/>
    <w:rsid w:val="001F7B3E"/>
    <w:rsid w:val="00201722"/>
    <w:rsid w:val="002125B0"/>
    <w:rsid w:val="00221FCB"/>
    <w:rsid w:val="00225FC0"/>
    <w:rsid w:val="00243228"/>
    <w:rsid w:val="00251483"/>
    <w:rsid w:val="00254641"/>
    <w:rsid w:val="00255CAA"/>
    <w:rsid w:val="00264305"/>
    <w:rsid w:val="002A0346"/>
    <w:rsid w:val="002A371F"/>
    <w:rsid w:val="002A4487"/>
    <w:rsid w:val="002B49E9"/>
    <w:rsid w:val="002C5258"/>
    <w:rsid w:val="002C632E"/>
    <w:rsid w:val="002D3E8B"/>
    <w:rsid w:val="002D4575"/>
    <w:rsid w:val="002D5C0C"/>
    <w:rsid w:val="002E03D1"/>
    <w:rsid w:val="002E6B74"/>
    <w:rsid w:val="002E6FCA"/>
    <w:rsid w:val="002F7110"/>
    <w:rsid w:val="0030208E"/>
    <w:rsid w:val="00313D9F"/>
    <w:rsid w:val="00316D84"/>
    <w:rsid w:val="00327038"/>
    <w:rsid w:val="00342EF2"/>
    <w:rsid w:val="00353CF6"/>
    <w:rsid w:val="00356CD0"/>
    <w:rsid w:val="00362CD9"/>
    <w:rsid w:val="003761CA"/>
    <w:rsid w:val="00380DAF"/>
    <w:rsid w:val="003972CE"/>
    <w:rsid w:val="003B28F5"/>
    <w:rsid w:val="003B35A3"/>
    <w:rsid w:val="003B7B7D"/>
    <w:rsid w:val="003C54CB"/>
    <w:rsid w:val="003C7A2A"/>
    <w:rsid w:val="003D2DC1"/>
    <w:rsid w:val="003D69D0"/>
    <w:rsid w:val="003F2918"/>
    <w:rsid w:val="003F430E"/>
    <w:rsid w:val="0041088C"/>
    <w:rsid w:val="00420A38"/>
    <w:rsid w:val="00431B19"/>
    <w:rsid w:val="004661AD"/>
    <w:rsid w:val="004800A2"/>
    <w:rsid w:val="004A6DCB"/>
    <w:rsid w:val="004C1837"/>
    <w:rsid w:val="004C2C12"/>
    <w:rsid w:val="004D1D85"/>
    <w:rsid w:val="004D3C3A"/>
    <w:rsid w:val="004D5030"/>
    <w:rsid w:val="004D5221"/>
    <w:rsid w:val="004E1CD1"/>
    <w:rsid w:val="004E1ED6"/>
    <w:rsid w:val="005107EB"/>
    <w:rsid w:val="00521345"/>
    <w:rsid w:val="00526DF0"/>
    <w:rsid w:val="00545CC4"/>
    <w:rsid w:val="00551FFF"/>
    <w:rsid w:val="005607A2"/>
    <w:rsid w:val="00560B70"/>
    <w:rsid w:val="0057198B"/>
    <w:rsid w:val="00573CFE"/>
    <w:rsid w:val="005745C4"/>
    <w:rsid w:val="005750DB"/>
    <w:rsid w:val="0059191B"/>
    <w:rsid w:val="005969F2"/>
    <w:rsid w:val="00597FAE"/>
    <w:rsid w:val="005B2D78"/>
    <w:rsid w:val="005B32A3"/>
    <w:rsid w:val="005C0D44"/>
    <w:rsid w:val="005C3C18"/>
    <w:rsid w:val="005C566C"/>
    <w:rsid w:val="005C7E69"/>
    <w:rsid w:val="005E262D"/>
    <w:rsid w:val="005F23D3"/>
    <w:rsid w:val="005F3E2D"/>
    <w:rsid w:val="005F7E20"/>
    <w:rsid w:val="00605E43"/>
    <w:rsid w:val="00606A31"/>
    <w:rsid w:val="006153BB"/>
    <w:rsid w:val="006652C3"/>
    <w:rsid w:val="00676F6A"/>
    <w:rsid w:val="00691FD0"/>
    <w:rsid w:val="00692148"/>
    <w:rsid w:val="006A1A1E"/>
    <w:rsid w:val="006C5948"/>
    <w:rsid w:val="006F2A74"/>
    <w:rsid w:val="007118F5"/>
    <w:rsid w:val="00712AA4"/>
    <w:rsid w:val="007146C4"/>
    <w:rsid w:val="00721AA1"/>
    <w:rsid w:val="00724B67"/>
    <w:rsid w:val="00732AED"/>
    <w:rsid w:val="007332DC"/>
    <w:rsid w:val="007547F8"/>
    <w:rsid w:val="00765622"/>
    <w:rsid w:val="00770B6C"/>
    <w:rsid w:val="00783FEA"/>
    <w:rsid w:val="0078663A"/>
    <w:rsid w:val="007A395D"/>
    <w:rsid w:val="007A6E6E"/>
    <w:rsid w:val="007B0218"/>
    <w:rsid w:val="007B4474"/>
    <w:rsid w:val="007B6BD5"/>
    <w:rsid w:val="007C346C"/>
    <w:rsid w:val="007D0309"/>
    <w:rsid w:val="007E6479"/>
    <w:rsid w:val="0080294B"/>
    <w:rsid w:val="00813FEC"/>
    <w:rsid w:val="00820181"/>
    <w:rsid w:val="00822CCC"/>
    <w:rsid w:val="0082480E"/>
    <w:rsid w:val="00832FD7"/>
    <w:rsid w:val="0083607C"/>
    <w:rsid w:val="00850293"/>
    <w:rsid w:val="00851373"/>
    <w:rsid w:val="00851BA6"/>
    <w:rsid w:val="0085654D"/>
    <w:rsid w:val="00861160"/>
    <w:rsid w:val="0086654F"/>
    <w:rsid w:val="0087301C"/>
    <w:rsid w:val="00874C39"/>
    <w:rsid w:val="00880158"/>
    <w:rsid w:val="008A356F"/>
    <w:rsid w:val="008A3D16"/>
    <w:rsid w:val="008A4653"/>
    <w:rsid w:val="008A4717"/>
    <w:rsid w:val="008A50CC"/>
    <w:rsid w:val="008B17D6"/>
    <w:rsid w:val="008D1694"/>
    <w:rsid w:val="008D79CB"/>
    <w:rsid w:val="008E7BE5"/>
    <w:rsid w:val="008F07BC"/>
    <w:rsid w:val="00902CE6"/>
    <w:rsid w:val="00906BCA"/>
    <w:rsid w:val="0092692B"/>
    <w:rsid w:val="00943E9C"/>
    <w:rsid w:val="00953F4D"/>
    <w:rsid w:val="00960BB8"/>
    <w:rsid w:val="00964F5C"/>
    <w:rsid w:val="00973B57"/>
    <w:rsid w:val="009826EE"/>
    <w:rsid w:val="009831C0"/>
    <w:rsid w:val="0099161D"/>
    <w:rsid w:val="009D1B73"/>
    <w:rsid w:val="009D7DCB"/>
    <w:rsid w:val="00A0389B"/>
    <w:rsid w:val="00A0486B"/>
    <w:rsid w:val="00A24C44"/>
    <w:rsid w:val="00A27AE7"/>
    <w:rsid w:val="00A33A3C"/>
    <w:rsid w:val="00A446C9"/>
    <w:rsid w:val="00A60D9A"/>
    <w:rsid w:val="00A635D6"/>
    <w:rsid w:val="00A6451D"/>
    <w:rsid w:val="00A65542"/>
    <w:rsid w:val="00A8553A"/>
    <w:rsid w:val="00A93AED"/>
    <w:rsid w:val="00AC1A4A"/>
    <w:rsid w:val="00AC6F67"/>
    <w:rsid w:val="00AE1319"/>
    <w:rsid w:val="00AE2B85"/>
    <w:rsid w:val="00AE34BB"/>
    <w:rsid w:val="00B226F2"/>
    <w:rsid w:val="00B274DF"/>
    <w:rsid w:val="00B56BDF"/>
    <w:rsid w:val="00B65812"/>
    <w:rsid w:val="00B85CD6"/>
    <w:rsid w:val="00B90A27"/>
    <w:rsid w:val="00B9554D"/>
    <w:rsid w:val="00BB2B9F"/>
    <w:rsid w:val="00BB60D2"/>
    <w:rsid w:val="00BB7D9E"/>
    <w:rsid w:val="00BC2334"/>
    <w:rsid w:val="00BD3CB8"/>
    <w:rsid w:val="00BD4E6F"/>
    <w:rsid w:val="00BE0308"/>
    <w:rsid w:val="00BE199C"/>
    <w:rsid w:val="00BF32F0"/>
    <w:rsid w:val="00BF4DCE"/>
    <w:rsid w:val="00C05CE5"/>
    <w:rsid w:val="00C172F4"/>
    <w:rsid w:val="00C6171E"/>
    <w:rsid w:val="00C638C0"/>
    <w:rsid w:val="00CA6F2C"/>
    <w:rsid w:val="00CF1871"/>
    <w:rsid w:val="00D019CE"/>
    <w:rsid w:val="00D0267E"/>
    <w:rsid w:val="00D1133E"/>
    <w:rsid w:val="00D17A34"/>
    <w:rsid w:val="00D26628"/>
    <w:rsid w:val="00D332B3"/>
    <w:rsid w:val="00D55207"/>
    <w:rsid w:val="00D61EB8"/>
    <w:rsid w:val="00D64FC1"/>
    <w:rsid w:val="00D81801"/>
    <w:rsid w:val="00D92B45"/>
    <w:rsid w:val="00D95962"/>
    <w:rsid w:val="00DC389B"/>
    <w:rsid w:val="00DC4803"/>
    <w:rsid w:val="00DE2FEE"/>
    <w:rsid w:val="00E00BE9"/>
    <w:rsid w:val="00E22A11"/>
    <w:rsid w:val="00E30233"/>
    <w:rsid w:val="00E31E5C"/>
    <w:rsid w:val="00E34451"/>
    <w:rsid w:val="00E44DD2"/>
    <w:rsid w:val="00E558C3"/>
    <w:rsid w:val="00E55927"/>
    <w:rsid w:val="00E6561D"/>
    <w:rsid w:val="00E839ED"/>
    <w:rsid w:val="00E912A6"/>
    <w:rsid w:val="00EA4844"/>
    <w:rsid w:val="00EA4D9C"/>
    <w:rsid w:val="00EA5A97"/>
    <w:rsid w:val="00EB75EE"/>
    <w:rsid w:val="00EE4C1D"/>
    <w:rsid w:val="00EF3685"/>
    <w:rsid w:val="00F04350"/>
    <w:rsid w:val="00F133DB"/>
    <w:rsid w:val="00F159EB"/>
    <w:rsid w:val="00F25BF4"/>
    <w:rsid w:val="00F267DB"/>
    <w:rsid w:val="00F36C56"/>
    <w:rsid w:val="00F46F6F"/>
    <w:rsid w:val="00F60608"/>
    <w:rsid w:val="00F62217"/>
    <w:rsid w:val="00F77608"/>
    <w:rsid w:val="00FB17A9"/>
    <w:rsid w:val="00FB1ACA"/>
    <w:rsid w:val="00FB30FE"/>
    <w:rsid w:val="00FB527C"/>
    <w:rsid w:val="00FB6F75"/>
    <w:rsid w:val="00FC0EB3"/>
    <w:rsid w:val="00FC4162"/>
    <w:rsid w:val="00FD675E"/>
    <w:rsid w:val="00FE35BC"/>
    <w:rsid w:val="00FE56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746CF26F-7269-473C-98D5-B73B4FB6C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Arial"/>
      <w:sz w:val="22"/>
      <w:szCs w:val="22"/>
      <w:lang w:val="fr-FR"/>
    </w:rPr>
  </w:style>
  <w:style w:type="paragraph" w:styleId="Heading1">
    <w:name w:val="heading 1"/>
    <w:basedOn w:val="Normal"/>
    <w:next w:val="BodyText"/>
    <w:link w:val="Heading1Char"/>
    <w:uiPriority w:val="99"/>
    <w:qFormat/>
    <w:rsid w:val="00605E43"/>
    <w:pPr>
      <w:keepNext/>
      <w:numPr>
        <w:numId w:val="14"/>
      </w:numPr>
      <w:spacing w:before="240" w:after="240"/>
      <w:outlineLvl w:val="0"/>
    </w:pPr>
    <w:rPr>
      <w:rFonts w:ascii="Calibri" w:hAnsi="Calibri" w:cs="Calibri"/>
      <w:b/>
      <w:bCs/>
      <w:caps/>
      <w:color w:val="0070C0"/>
      <w:kern w:val="28"/>
      <w:sz w:val="24"/>
      <w:szCs w:val="24"/>
      <w:lang w:eastAsia="de-DE"/>
    </w:rPr>
  </w:style>
  <w:style w:type="paragraph" w:styleId="Heading2">
    <w:name w:val="heading 2"/>
    <w:basedOn w:val="Normal"/>
    <w:next w:val="BodyText"/>
    <w:link w:val="Heading2Char"/>
    <w:uiPriority w:val="99"/>
    <w:qFormat/>
    <w:rsid w:val="00605E43"/>
    <w:pPr>
      <w:numPr>
        <w:ilvl w:val="1"/>
        <w:numId w:val="14"/>
      </w:numPr>
      <w:spacing w:before="120" w:after="120"/>
      <w:outlineLvl w:val="1"/>
    </w:pPr>
    <w:rPr>
      <w:rFonts w:ascii="Calibri" w:hAnsi="Calibri" w:cs="Calibri"/>
      <w:b/>
      <w:bCs/>
      <w:color w:val="0070C0"/>
      <w:sz w:val="24"/>
      <w:szCs w:val="24"/>
      <w:lang w:eastAsia="fr-FR"/>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sz w:val="20"/>
      <w:szCs w:val="20"/>
      <w:lang w:eastAsia="de-DE"/>
    </w:rPr>
  </w:style>
  <w:style w:type="paragraph" w:styleId="Heading4">
    <w:name w:val="heading 4"/>
    <w:basedOn w:val="Normal"/>
    <w:next w:val="BodyTextIndent"/>
    <w:link w:val="Heading4Char"/>
    <w:uiPriority w:val="99"/>
    <w:qFormat/>
    <w:rsid w:val="00D332B3"/>
    <w:pPr>
      <w:keepNext/>
      <w:numPr>
        <w:ilvl w:val="3"/>
        <w:numId w:val="14"/>
      </w:numPr>
      <w:spacing w:before="120" w:after="120"/>
      <w:outlineLvl w:val="3"/>
    </w:pPr>
    <w:rPr>
      <w:sz w:val="20"/>
      <w:szCs w:val="20"/>
      <w:lang w:val="en-US" w:eastAsia="de-DE"/>
    </w:rPr>
  </w:style>
  <w:style w:type="paragraph" w:styleId="Heading5">
    <w:name w:val="heading 5"/>
    <w:basedOn w:val="Normal"/>
    <w:next w:val="Normal"/>
    <w:link w:val="Heading5Char"/>
    <w:uiPriority w:val="99"/>
    <w:qFormat/>
    <w:rsid w:val="00D332B3"/>
    <w:pPr>
      <w:numPr>
        <w:ilvl w:val="4"/>
        <w:numId w:val="14"/>
      </w:numPr>
      <w:spacing w:before="240" w:after="120"/>
      <w:outlineLvl w:val="4"/>
    </w:pPr>
    <w:rPr>
      <w:rFonts w:eastAsia="Times New Roman"/>
      <w:sz w:val="20"/>
      <w:szCs w:val="20"/>
      <w:lang w:val="de-DE" w:eastAsia="de-DE"/>
    </w:rPr>
  </w:style>
  <w:style w:type="paragraph" w:styleId="Heading6">
    <w:name w:val="heading 6"/>
    <w:basedOn w:val="Normal"/>
    <w:next w:val="BodyTextIndent2"/>
    <w:link w:val="Heading6Char"/>
    <w:uiPriority w:val="99"/>
    <w:qFormat/>
    <w:rsid w:val="00D332B3"/>
    <w:pPr>
      <w:numPr>
        <w:ilvl w:val="5"/>
        <w:numId w:val="14"/>
      </w:numPr>
      <w:tabs>
        <w:tab w:val="left" w:pos="1418"/>
      </w:tabs>
      <w:spacing w:before="120" w:after="120"/>
      <w:outlineLvl w:val="5"/>
    </w:pPr>
    <w:rPr>
      <w:sz w:val="20"/>
      <w:szCs w:val="20"/>
      <w:lang w:val="de-DE" w:eastAsia="de-DE"/>
    </w:rPr>
  </w:style>
  <w:style w:type="paragraph" w:styleId="Heading7">
    <w:name w:val="heading 7"/>
    <w:basedOn w:val="Normal"/>
    <w:next w:val="BodyTextIndent2"/>
    <w:link w:val="Heading7Char"/>
    <w:uiPriority w:val="99"/>
    <w:qFormat/>
    <w:rsid w:val="00D332B3"/>
    <w:pPr>
      <w:numPr>
        <w:ilvl w:val="6"/>
        <w:numId w:val="14"/>
      </w:numPr>
      <w:tabs>
        <w:tab w:val="left" w:pos="1701"/>
      </w:tabs>
      <w:spacing w:before="120" w:after="120"/>
      <w:outlineLvl w:val="6"/>
    </w:pPr>
    <w:rPr>
      <w:sz w:val="20"/>
      <w:szCs w:val="20"/>
      <w:lang w:val="de-DE" w:eastAsia="de-DE"/>
    </w:rPr>
  </w:style>
  <w:style w:type="paragraph" w:styleId="Heading8">
    <w:name w:val="heading 8"/>
    <w:basedOn w:val="Normal"/>
    <w:next w:val="BodyTextIndent2"/>
    <w:link w:val="Heading8Char"/>
    <w:uiPriority w:val="99"/>
    <w:qFormat/>
    <w:rsid w:val="00D332B3"/>
    <w:pPr>
      <w:numPr>
        <w:ilvl w:val="7"/>
        <w:numId w:val="14"/>
      </w:numPr>
      <w:tabs>
        <w:tab w:val="left" w:pos="1985"/>
      </w:tabs>
      <w:spacing w:before="120" w:after="120"/>
      <w:outlineLvl w:val="7"/>
    </w:pPr>
    <w:rPr>
      <w:sz w:val="20"/>
      <w:szCs w:val="20"/>
      <w:lang w:val="de-DE" w:eastAsia="de-DE"/>
    </w:rPr>
  </w:style>
  <w:style w:type="paragraph" w:styleId="Heading9">
    <w:name w:val="heading 9"/>
    <w:basedOn w:val="Normal"/>
    <w:next w:val="BodyTextIndent2"/>
    <w:link w:val="Heading9Char"/>
    <w:uiPriority w:val="99"/>
    <w:qFormat/>
    <w:rsid w:val="00D332B3"/>
    <w:pPr>
      <w:numPr>
        <w:ilvl w:val="8"/>
        <w:numId w:val="14"/>
      </w:numPr>
      <w:tabs>
        <w:tab w:val="left" w:pos="2268"/>
      </w:tabs>
      <w:spacing w:before="120" w:after="120"/>
      <w:outlineLvl w:val="8"/>
    </w:pPr>
    <w:rPr>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05E43"/>
    <w:rPr>
      <w:rFonts w:ascii="Calibri" w:hAnsi="Calibri" w:cs="Calibri"/>
      <w:b/>
      <w:bCs/>
      <w:caps/>
      <w:color w:val="0070C0"/>
      <w:kern w:val="28"/>
      <w:sz w:val="24"/>
      <w:szCs w:val="24"/>
      <w:lang w:val="fr-FR" w:eastAsia="de-DE"/>
    </w:rPr>
  </w:style>
  <w:style w:type="character" w:customStyle="1" w:styleId="Heading2Char">
    <w:name w:val="Heading 2 Char"/>
    <w:link w:val="Heading2"/>
    <w:uiPriority w:val="99"/>
    <w:locked/>
    <w:rsid w:val="00605E43"/>
    <w:rPr>
      <w:rFonts w:ascii="Calibri" w:hAnsi="Calibri" w:cs="Calibri"/>
      <w:b/>
      <w:bCs/>
      <w:color w:val="0070C0"/>
      <w:sz w:val="24"/>
      <w:szCs w:val="24"/>
      <w:lang w:val="fr-FR" w:eastAsia="fr-FR"/>
    </w:rPr>
  </w:style>
  <w:style w:type="character" w:customStyle="1" w:styleId="Heading3Char">
    <w:name w:val="Heading 3 Char"/>
    <w:link w:val="Heading3"/>
    <w:uiPriority w:val="99"/>
    <w:locked/>
    <w:rsid w:val="00E00BE9"/>
    <w:rPr>
      <w:rFonts w:ascii="Arial" w:hAnsi="Arial" w:cs="Arial"/>
      <w:lang w:val="fr-FR" w:eastAsia="de-DE"/>
    </w:rPr>
  </w:style>
  <w:style w:type="character" w:customStyle="1" w:styleId="Heading4Char">
    <w:name w:val="Heading 4 Char"/>
    <w:link w:val="Heading4"/>
    <w:uiPriority w:val="99"/>
    <w:locked/>
    <w:rsid w:val="00E00BE9"/>
    <w:rPr>
      <w:rFonts w:ascii="Arial" w:hAnsi="Arial" w:cs="Arial"/>
      <w:lang w:val="en-US" w:eastAsia="de-DE"/>
    </w:rPr>
  </w:style>
  <w:style w:type="character" w:customStyle="1" w:styleId="Heading5Char">
    <w:name w:val="Heading 5 Char"/>
    <w:link w:val="Heading5"/>
    <w:uiPriority w:val="99"/>
    <w:locked/>
    <w:rsid w:val="00D332B3"/>
    <w:rPr>
      <w:rFonts w:ascii="Arial" w:eastAsia="Times New Roman" w:hAnsi="Arial" w:cs="Arial"/>
      <w:lang w:val="de-DE" w:eastAsia="de-DE"/>
    </w:rPr>
  </w:style>
  <w:style w:type="character" w:customStyle="1" w:styleId="Heading6Char">
    <w:name w:val="Heading 6 Char"/>
    <w:link w:val="Heading6"/>
    <w:uiPriority w:val="99"/>
    <w:locked/>
    <w:rsid w:val="00E00BE9"/>
    <w:rPr>
      <w:rFonts w:ascii="Arial" w:hAnsi="Arial" w:cs="Arial"/>
      <w:lang w:val="de-DE" w:eastAsia="de-DE"/>
    </w:rPr>
  </w:style>
  <w:style w:type="character" w:customStyle="1" w:styleId="Heading7Char">
    <w:name w:val="Heading 7 Char"/>
    <w:link w:val="Heading7"/>
    <w:uiPriority w:val="99"/>
    <w:locked/>
    <w:rsid w:val="00E00BE9"/>
    <w:rPr>
      <w:rFonts w:ascii="Arial" w:hAnsi="Arial" w:cs="Arial"/>
      <w:lang w:val="de-DE" w:eastAsia="de-DE"/>
    </w:rPr>
  </w:style>
  <w:style w:type="character" w:customStyle="1" w:styleId="Heading8Char">
    <w:name w:val="Heading 8 Char"/>
    <w:link w:val="Heading8"/>
    <w:uiPriority w:val="99"/>
    <w:locked/>
    <w:rsid w:val="00E00BE9"/>
    <w:rPr>
      <w:rFonts w:ascii="Arial" w:hAnsi="Arial" w:cs="Arial"/>
      <w:lang w:val="de-DE" w:eastAsia="de-DE"/>
    </w:rPr>
  </w:style>
  <w:style w:type="character" w:customStyle="1" w:styleId="Heading9Char">
    <w:name w:val="Heading 9 Char"/>
    <w:link w:val="Heading9"/>
    <w:uiPriority w:val="99"/>
    <w:locked/>
    <w:rsid w:val="00E00BE9"/>
    <w:rPr>
      <w:rFonts w:ascii="Arial" w:hAnsi="Arial" w:cs="Arial"/>
      <w:lang w:val="de-DE" w:eastAsia="de-DE"/>
    </w:rPr>
  </w:style>
  <w:style w:type="paragraph" w:customStyle="1" w:styleId="Annex">
    <w:name w:val="Annex"/>
    <w:basedOn w:val="Heading1"/>
    <w:next w:val="Normal"/>
    <w:uiPriority w:val="99"/>
    <w:rsid w:val="007A395D"/>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iCs/>
    </w:rPr>
  </w:style>
  <w:style w:type="paragraph" w:customStyle="1" w:styleId="AnnexHeading1">
    <w:name w:val="Annex Heading 1"/>
    <w:basedOn w:val="Normal"/>
    <w:next w:val="BodyText"/>
    <w:uiPriority w:val="99"/>
    <w:rsid w:val="008D1694"/>
    <w:pPr>
      <w:numPr>
        <w:numId w:val="3"/>
      </w:numPr>
      <w:spacing w:before="120" w:after="120"/>
    </w:pPr>
    <w:rPr>
      <w:b/>
      <w:bCs/>
      <w:caps/>
      <w:sz w:val="24"/>
      <w:szCs w:val="24"/>
    </w:rPr>
  </w:style>
  <w:style w:type="paragraph" w:customStyle="1" w:styleId="AnnexHeading2">
    <w:name w:val="Annex Heading 2"/>
    <w:basedOn w:val="Normal"/>
    <w:next w:val="BodyText"/>
    <w:uiPriority w:val="99"/>
    <w:rsid w:val="008D1694"/>
    <w:pPr>
      <w:numPr>
        <w:ilvl w:val="1"/>
        <w:numId w:val="3"/>
      </w:numPr>
      <w:spacing w:before="120" w:after="120"/>
    </w:pPr>
    <w:rPr>
      <w:b/>
      <w:bCs/>
    </w:rPr>
  </w:style>
  <w:style w:type="paragraph" w:customStyle="1" w:styleId="AnnexHeading3">
    <w:name w:val="Annex Heading 3"/>
    <w:basedOn w:val="Normal"/>
    <w:next w:val="Normal"/>
    <w:uiPriority w:val="99"/>
    <w:rsid w:val="008D1694"/>
    <w:pPr>
      <w:numPr>
        <w:ilvl w:val="2"/>
        <w:numId w:val="3"/>
      </w:numPr>
      <w:spacing w:before="120" w:after="120"/>
    </w:pPr>
  </w:style>
  <w:style w:type="paragraph" w:customStyle="1" w:styleId="AnnexHeading4">
    <w:name w:val="Annex Heading 4"/>
    <w:basedOn w:val="Normal"/>
    <w:next w:val="BodyText"/>
    <w:uiPriority w:val="99"/>
    <w:rsid w:val="008D1694"/>
    <w:pPr>
      <w:numPr>
        <w:ilvl w:val="3"/>
        <w:numId w:val="3"/>
      </w:numPr>
      <w:spacing w:before="120" w:after="120"/>
    </w:p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iCs/>
    </w:rPr>
  </w:style>
  <w:style w:type="paragraph" w:styleId="BodyText">
    <w:name w:val="Body Text"/>
    <w:basedOn w:val="Normal"/>
    <w:link w:val="BodyTextChar"/>
    <w:uiPriority w:val="99"/>
    <w:rsid w:val="008D1694"/>
    <w:pPr>
      <w:spacing w:after="120"/>
      <w:jc w:val="both"/>
    </w:pPr>
    <w:rPr>
      <w:sz w:val="20"/>
      <w:szCs w:val="20"/>
      <w:lang w:eastAsia="fr-FR"/>
    </w:rPr>
  </w:style>
  <w:style w:type="character" w:customStyle="1" w:styleId="BodyTextChar">
    <w:name w:val="Body Text Char"/>
    <w:link w:val="BodyText"/>
    <w:uiPriority w:val="99"/>
    <w:locked/>
    <w:rsid w:val="00E00BE9"/>
    <w:rPr>
      <w:rFonts w:ascii="Arial" w:hAnsi="Arial" w:cs="Arial"/>
      <w:sz w:val="24"/>
      <w:szCs w:val="24"/>
    </w:rPr>
  </w:style>
  <w:style w:type="paragraph" w:customStyle="1" w:styleId="Bullet1">
    <w:name w:val="Bullet 1"/>
    <w:basedOn w:val="Normal"/>
    <w:uiPriority w:val="99"/>
    <w:rsid w:val="001C44A3"/>
    <w:pPr>
      <w:numPr>
        <w:numId w:val="7"/>
      </w:numPr>
      <w:tabs>
        <w:tab w:val="left" w:pos="1134"/>
      </w:tabs>
      <w:spacing w:after="120"/>
      <w:ind w:left="1134" w:hanging="567"/>
      <w:jc w:val="both"/>
      <w:outlineLvl w:val="0"/>
    </w:pPr>
    <w:rPr>
      <w:lang w:eastAsia="de-DE"/>
    </w:rPr>
  </w:style>
  <w:style w:type="paragraph" w:customStyle="1" w:styleId="Bullet1text">
    <w:name w:val="Bullet 1 text"/>
    <w:basedOn w:val="Normal"/>
    <w:uiPriority w:val="99"/>
    <w:rsid w:val="008D1694"/>
    <w:pPr>
      <w:suppressAutoHyphens/>
      <w:spacing w:after="120"/>
      <w:ind w:left="1134"/>
      <w:jc w:val="both"/>
    </w:pPr>
  </w:style>
  <w:style w:type="paragraph" w:customStyle="1" w:styleId="Bullet2">
    <w:name w:val="Bullet 2"/>
    <w:basedOn w:val="Normal"/>
    <w:uiPriority w:val="99"/>
    <w:rsid w:val="001C44A3"/>
    <w:pPr>
      <w:numPr>
        <w:numId w:val="8"/>
      </w:numPr>
      <w:tabs>
        <w:tab w:val="left" w:pos="1701"/>
      </w:tabs>
      <w:spacing w:after="120"/>
      <w:ind w:left="1701" w:hanging="567"/>
      <w:jc w:val="both"/>
    </w:pPr>
  </w:style>
  <w:style w:type="paragraph" w:customStyle="1" w:styleId="Bullet2text">
    <w:name w:val="Bullet 2 text"/>
    <w:basedOn w:val="Normal"/>
    <w:uiPriority w:val="99"/>
    <w:rsid w:val="008D1694"/>
    <w:pPr>
      <w:suppressAutoHyphens/>
      <w:spacing w:after="120"/>
      <w:ind w:left="1701"/>
      <w:jc w:val="both"/>
    </w:pPr>
  </w:style>
  <w:style w:type="paragraph" w:customStyle="1" w:styleId="Bullet3">
    <w:name w:val="Bullet 3"/>
    <w:basedOn w:val="Normal"/>
    <w:uiPriority w:val="99"/>
    <w:rsid w:val="00CF1871"/>
    <w:pPr>
      <w:numPr>
        <w:numId w:val="15"/>
      </w:numPr>
      <w:tabs>
        <w:tab w:val="left" w:pos="2268"/>
      </w:tabs>
      <w:spacing w:after="60"/>
      <w:ind w:left="2268" w:hanging="567"/>
      <w:jc w:val="both"/>
    </w:pPr>
    <w:rPr>
      <w:sz w:val="20"/>
      <w:szCs w:val="20"/>
    </w:rPr>
  </w:style>
  <w:style w:type="paragraph" w:customStyle="1" w:styleId="Bullet3text">
    <w:name w:val="Bullet 3 text"/>
    <w:basedOn w:val="Normal"/>
    <w:uiPriority w:val="99"/>
    <w:rsid w:val="008D1694"/>
    <w:pPr>
      <w:suppressAutoHyphens/>
      <w:spacing w:after="60"/>
      <w:ind w:left="2268"/>
    </w:pPr>
    <w:rPr>
      <w:sz w:val="20"/>
      <w:szCs w:val="20"/>
    </w:rPr>
  </w:style>
  <w:style w:type="paragraph" w:customStyle="1" w:styleId="Figure">
    <w:name w:val="Figure_#"/>
    <w:basedOn w:val="Normal"/>
    <w:next w:val="Normal"/>
    <w:uiPriority w:val="99"/>
    <w:rsid w:val="008D1694"/>
    <w:pPr>
      <w:numPr>
        <w:numId w:val="9"/>
      </w:numPr>
      <w:spacing w:before="120" w:after="120"/>
      <w:jc w:val="center"/>
    </w:pPr>
    <w:rPr>
      <w:i/>
      <w:iCs/>
    </w:rPr>
  </w:style>
  <w:style w:type="paragraph" w:styleId="Footer">
    <w:name w:val="footer"/>
    <w:basedOn w:val="Normal"/>
    <w:link w:val="FooterChar"/>
    <w:uiPriority w:val="99"/>
    <w:rsid w:val="008D1694"/>
    <w:pPr>
      <w:tabs>
        <w:tab w:val="center" w:pos="4820"/>
        <w:tab w:val="right" w:pos="9639"/>
      </w:tabs>
    </w:pPr>
    <w:rPr>
      <w:sz w:val="20"/>
      <w:szCs w:val="20"/>
      <w:lang w:eastAsia="fr-FR"/>
    </w:rPr>
  </w:style>
  <w:style w:type="character" w:customStyle="1" w:styleId="FooterChar">
    <w:name w:val="Footer Char"/>
    <w:link w:val="Footer"/>
    <w:uiPriority w:val="99"/>
    <w:locked/>
    <w:rsid w:val="00084F33"/>
    <w:rPr>
      <w:rFonts w:ascii="Arial" w:hAnsi="Arial" w:cs="Arial"/>
      <w:sz w:val="24"/>
      <w:szCs w:val="24"/>
    </w:rPr>
  </w:style>
  <w:style w:type="paragraph" w:styleId="Header">
    <w:name w:val="header"/>
    <w:basedOn w:val="Normal"/>
    <w:link w:val="HeaderChar"/>
    <w:uiPriority w:val="99"/>
    <w:rsid w:val="008D1694"/>
    <w:pPr>
      <w:tabs>
        <w:tab w:val="center" w:pos="4820"/>
        <w:tab w:val="right" w:pos="9639"/>
      </w:tabs>
    </w:pPr>
    <w:rPr>
      <w:sz w:val="20"/>
      <w:szCs w:val="20"/>
    </w:rPr>
  </w:style>
  <w:style w:type="character" w:customStyle="1" w:styleId="HeaderChar">
    <w:name w:val="Header Char"/>
    <w:link w:val="Header"/>
    <w:uiPriority w:val="99"/>
    <w:locked/>
    <w:rsid w:val="005C566C"/>
    <w:rPr>
      <w:rFonts w:ascii="Arial" w:hAnsi="Arial" w:cs="Arial"/>
      <w:sz w:val="24"/>
      <w:szCs w:val="24"/>
      <w:lang w:eastAsia="en-GB"/>
    </w:rPr>
  </w:style>
  <w:style w:type="character" w:styleId="Hyperlink">
    <w:name w:val="Hyperlink"/>
    <w:uiPriority w:val="99"/>
    <w:rsid w:val="00FC0EB3"/>
    <w:rPr>
      <w:vertAlign w:val="baseline"/>
    </w:rPr>
  </w:style>
  <w:style w:type="paragraph" w:customStyle="1" w:styleId="List1">
    <w:name w:val="List 1"/>
    <w:basedOn w:val="Normal"/>
    <w:uiPriority w:val="99"/>
    <w:rsid w:val="002E6B74"/>
    <w:pPr>
      <w:numPr>
        <w:numId w:val="1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sz w:val="20"/>
      <w:szCs w:val="20"/>
    </w:rPr>
  </w:style>
  <w:style w:type="paragraph" w:customStyle="1" w:styleId="List1indent2text">
    <w:name w:val="List 1 indent 2 text"/>
    <w:basedOn w:val="Normal"/>
    <w:uiPriority w:val="99"/>
    <w:rsid w:val="008D1694"/>
    <w:pPr>
      <w:spacing w:after="60"/>
      <w:ind w:left="1701"/>
      <w:jc w:val="both"/>
    </w:pPr>
    <w:rPr>
      <w:sz w:val="20"/>
      <w:szCs w:val="20"/>
    </w:rPr>
  </w:style>
  <w:style w:type="paragraph" w:customStyle="1" w:styleId="List1indenttext">
    <w:name w:val="List 1 indent text"/>
    <w:basedOn w:val="Normal"/>
    <w:uiPriority w:val="99"/>
    <w:rsid w:val="008D1694"/>
    <w:pPr>
      <w:spacing w:after="120"/>
      <w:ind w:left="1134"/>
      <w:jc w:val="both"/>
    </w:pPr>
  </w:style>
  <w:style w:type="paragraph" w:customStyle="1" w:styleId="List1text">
    <w:name w:val="List 1 text"/>
    <w:basedOn w:val="Normal"/>
    <w:uiPriority w:val="99"/>
    <w:rsid w:val="008D1694"/>
    <w:pPr>
      <w:spacing w:after="120"/>
      <w:ind w:left="567"/>
    </w:pPr>
  </w:style>
  <w:style w:type="character" w:styleId="PageNumber">
    <w:name w:val="page number"/>
    <w:basedOn w:val="DefaultParagraphFont"/>
    <w:uiPriority w:val="99"/>
    <w:rsid w:val="008D1694"/>
  </w:style>
  <w:style w:type="paragraph" w:styleId="TableofFigures">
    <w:name w:val="table of figures"/>
    <w:basedOn w:val="Normal"/>
    <w:next w:val="Normal"/>
    <w:uiPriority w:val="99"/>
    <w:semiHidden/>
    <w:rsid w:val="00A8553A"/>
    <w:pPr>
      <w:tabs>
        <w:tab w:val="left" w:pos="1418"/>
        <w:tab w:val="right" w:pos="9639"/>
      </w:tabs>
      <w:spacing w:before="60" w:after="60"/>
      <w:ind w:left="1418" w:right="282" w:hanging="1418"/>
    </w:pPr>
    <w:rPr>
      <w:rFonts w:eastAsia="Times New Roman"/>
      <w:lang w:eastAsia="en-US"/>
    </w:rPr>
  </w:style>
  <w:style w:type="paragraph" w:customStyle="1" w:styleId="Table">
    <w:name w:val="Table_#"/>
    <w:basedOn w:val="Normal"/>
    <w:next w:val="Normal"/>
    <w:uiPriority w:val="99"/>
    <w:rsid w:val="008D1694"/>
    <w:pPr>
      <w:numPr>
        <w:numId w:val="11"/>
      </w:numPr>
      <w:spacing w:before="120" w:after="120"/>
      <w:jc w:val="center"/>
    </w:pPr>
    <w:rPr>
      <w:i/>
      <w:iCs/>
    </w:rPr>
  </w:style>
  <w:style w:type="paragraph" w:styleId="TOC1">
    <w:name w:val="toc 1"/>
    <w:basedOn w:val="Normal"/>
    <w:next w:val="Normal"/>
    <w:autoRedefine/>
    <w:uiPriority w:val="99"/>
    <w:semiHidden/>
    <w:rsid w:val="00960BB8"/>
    <w:pPr>
      <w:tabs>
        <w:tab w:val="left" w:pos="567"/>
        <w:tab w:val="right" w:pos="9639"/>
      </w:tabs>
      <w:spacing w:before="120"/>
      <w:ind w:right="284"/>
    </w:pPr>
    <w:rPr>
      <w:rFonts w:eastAsia="Times New Roman"/>
      <w:caps/>
      <w:lang w:eastAsia="en-US"/>
    </w:rPr>
  </w:style>
  <w:style w:type="paragraph" w:styleId="TOC2">
    <w:name w:val="toc 2"/>
    <w:basedOn w:val="Normal"/>
    <w:next w:val="Normal"/>
    <w:autoRedefine/>
    <w:uiPriority w:val="99"/>
    <w:semiHidden/>
    <w:rsid w:val="001F528A"/>
    <w:pPr>
      <w:tabs>
        <w:tab w:val="left" w:pos="1418"/>
        <w:tab w:val="right" w:pos="9639"/>
      </w:tabs>
      <w:spacing w:before="120"/>
      <w:ind w:left="1418" w:right="284" w:hanging="851"/>
    </w:pPr>
    <w:rPr>
      <w:rFonts w:eastAsia="Times New Roman"/>
      <w:lang w:eastAsia="en-US"/>
    </w:rPr>
  </w:style>
  <w:style w:type="paragraph" w:styleId="TOC3">
    <w:name w:val="toc 3"/>
    <w:basedOn w:val="Normal"/>
    <w:next w:val="Normal"/>
    <w:autoRedefine/>
    <w:uiPriority w:val="99"/>
    <w:semiHidden/>
    <w:rsid w:val="001F528A"/>
    <w:pPr>
      <w:tabs>
        <w:tab w:val="left" w:pos="2268"/>
        <w:tab w:val="right" w:pos="9639"/>
      </w:tabs>
      <w:ind w:left="2268" w:right="284" w:hanging="850"/>
    </w:pPr>
    <w:rPr>
      <w:rFonts w:ascii="Calibri" w:eastAsia="Times New Roman" w:hAnsi="Calibri" w:cs="Calibri"/>
      <w:noProof/>
    </w:rPr>
  </w:style>
  <w:style w:type="paragraph" w:styleId="TOC4">
    <w:name w:val="toc 4"/>
    <w:basedOn w:val="Normal"/>
    <w:next w:val="Normal"/>
    <w:autoRedefine/>
    <w:uiPriority w:val="99"/>
    <w:semiHidden/>
    <w:rsid w:val="00960BB8"/>
    <w:pPr>
      <w:tabs>
        <w:tab w:val="left" w:pos="1418"/>
        <w:tab w:val="right" w:pos="9639"/>
      </w:tabs>
      <w:spacing w:before="120" w:after="120"/>
      <w:ind w:left="1418" w:right="284" w:hanging="1418"/>
    </w:pPr>
    <w:rPr>
      <w:rFonts w:eastAsia="Times New Roman"/>
      <w:b/>
      <w:bCs/>
      <w:caps/>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sz w:val="20"/>
      <w:szCs w:val="20"/>
      <w:lang w:eastAsia="fr-FR"/>
    </w:rPr>
  </w:style>
  <w:style w:type="character" w:customStyle="1" w:styleId="BodyTextIndentChar">
    <w:name w:val="Body Text Indent Char"/>
    <w:link w:val="BodyTextIndent"/>
    <w:uiPriority w:val="99"/>
    <w:locked/>
    <w:rsid w:val="00243228"/>
    <w:rPr>
      <w:rFonts w:ascii="Arial" w:hAnsi="Arial" w:cs="Arial"/>
      <w:sz w:val="24"/>
      <w:szCs w:val="24"/>
    </w:rPr>
  </w:style>
  <w:style w:type="paragraph" w:styleId="BodyTextIndent2">
    <w:name w:val="Body Text Indent 2"/>
    <w:basedOn w:val="Normal"/>
    <w:link w:val="BodyTextIndent2Char"/>
    <w:uiPriority w:val="99"/>
    <w:rsid w:val="008D1694"/>
    <w:pPr>
      <w:spacing w:after="120"/>
      <w:ind w:left="1134"/>
      <w:jc w:val="both"/>
    </w:pPr>
    <w:rPr>
      <w:sz w:val="20"/>
      <w:szCs w:val="20"/>
      <w:lang w:eastAsia="de-DE"/>
    </w:rPr>
  </w:style>
  <w:style w:type="character" w:customStyle="1" w:styleId="BodyTextIndent2Char">
    <w:name w:val="Body Text Indent 2 Char"/>
    <w:link w:val="BodyTextIndent2"/>
    <w:uiPriority w:val="99"/>
    <w:locked/>
    <w:rsid w:val="00243228"/>
    <w:rPr>
      <w:rFonts w:ascii="Arial" w:hAnsi="Arial" w:cs="Arial"/>
      <w:sz w:val="24"/>
      <w:szCs w:val="24"/>
      <w:lang w:eastAsia="de-DE"/>
    </w:rPr>
  </w:style>
  <w:style w:type="character" w:styleId="FootnoteReference">
    <w:name w:val="footnote reference"/>
    <w:uiPriority w:val="99"/>
    <w:semiHidden/>
    <w:rsid w:val="008D1694"/>
    <w:rPr>
      <w:rFonts w:ascii="Arial" w:hAnsi="Arial" w:cs="Arial"/>
      <w:sz w:val="16"/>
      <w:szCs w:val="16"/>
    </w:rPr>
  </w:style>
  <w:style w:type="paragraph" w:styleId="FootnoteText">
    <w:name w:val="footnote text"/>
    <w:basedOn w:val="Normal"/>
    <w:link w:val="FootnoteTextChar"/>
    <w:uiPriority w:val="99"/>
    <w:semiHidden/>
    <w:rsid w:val="00243228"/>
    <w:rPr>
      <w:sz w:val="20"/>
      <w:szCs w:val="20"/>
      <w:lang w:eastAsia="fr-FR"/>
    </w:rPr>
  </w:style>
  <w:style w:type="character" w:customStyle="1" w:styleId="FootnoteTextChar">
    <w:name w:val="Footnote Text Char"/>
    <w:link w:val="FootnoteText"/>
    <w:uiPriority w:val="99"/>
    <w:semiHidden/>
    <w:locked/>
    <w:rsid w:val="00243228"/>
    <w:rPr>
      <w:rFonts w:ascii="Arial" w:hAnsi="Arial" w:cs="Arial"/>
      <w:sz w:val="20"/>
      <w:szCs w:val="20"/>
    </w:rPr>
  </w:style>
  <w:style w:type="paragraph" w:styleId="Subtitle">
    <w:name w:val="Subtitle"/>
    <w:basedOn w:val="Normal"/>
    <w:link w:val="SubtitleChar"/>
    <w:uiPriority w:val="99"/>
    <w:qFormat/>
    <w:rsid w:val="008D1694"/>
    <w:pPr>
      <w:spacing w:after="60"/>
      <w:jc w:val="center"/>
      <w:outlineLvl w:val="1"/>
    </w:pPr>
    <w:rPr>
      <w:sz w:val="20"/>
      <w:szCs w:val="20"/>
      <w:lang w:eastAsia="fr-FR"/>
    </w:rPr>
  </w:style>
  <w:style w:type="character" w:customStyle="1" w:styleId="SubtitleChar">
    <w:name w:val="Subtitle Char"/>
    <w:link w:val="Subtitle"/>
    <w:uiPriority w:val="99"/>
    <w:locked/>
    <w:rsid w:val="00243228"/>
    <w:rPr>
      <w:rFonts w:ascii="Arial" w:hAnsi="Arial" w:cs="Arial"/>
      <w:sz w:val="24"/>
      <w:szCs w:val="24"/>
    </w:rPr>
  </w:style>
  <w:style w:type="paragraph" w:styleId="Title">
    <w:name w:val="Title"/>
    <w:basedOn w:val="Normal"/>
    <w:link w:val="TitleChar"/>
    <w:uiPriority w:val="99"/>
    <w:qFormat/>
    <w:rsid w:val="00943E9C"/>
    <w:pPr>
      <w:spacing w:before="120" w:after="240"/>
      <w:jc w:val="center"/>
      <w:outlineLvl w:val="0"/>
    </w:pPr>
    <w:rPr>
      <w:b/>
      <w:bCs/>
      <w:kern w:val="28"/>
      <w:sz w:val="32"/>
      <w:szCs w:val="32"/>
      <w:lang w:eastAsia="fr-FR"/>
    </w:rPr>
  </w:style>
  <w:style w:type="character" w:customStyle="1" w:styleId="TitleChar">
    <w:name w:val="Title Char"/>
    <w:link w:val="Title"/>
    <w:uiPriority w:val="99"/>
    <w:locked/>
    <w:rsid w:val="00943E9C"/>
    <w:rPr>
      <w:rFonts w:ascii="Arial" w:hAnsi="Arial" w:cs="Arial"/>
      <w:b/>
      <w:bCs/>
      <w:kern w:val="28"/>
      <w:sz w:val="32"/>
      <w:szCs w:val="32"/>
    </w:rPr>
  </w:style>
  <w:style w:type="paragraph" w:customStyle="1" w:styleId="List1indent1">
    <w:name w:val="List 1 indent 1"/>
    <w:basedOn w:val="Normal"/>
    <w:uiPriority w:val="99"/>
    <w:rsid w:val="00765622"/>
    <w:pPr>
      <w:numPr>
        <w:ilvl w:val="1"/>
        <w:numId w:val="12"/>
      </w:numPr>
      <w:spacing w:after="120"/>
      <w:jc w:val="both"/>
    </w:pPr>
  </w:style>
  <w:style w:type="paragraph" w:customStyle="1" w:styleId="List1indent1text">
    <w:name w:val="List 1 indent 1 text"/>
    <w:basedOn w:val="Normal"/>
    <w:uiPriority w:val="99"/>
    <w:rsid w:val="008D1694"/>
    <w:pPr>
      <w:spacing w:after="120"/>
      <w:ind w:left="1134"/>
      <w:jc w:val="both"/>
    </w:pPr>
    <w:rPr>
      <w:lang w:eastAsia="fr-FR"/>
    </w:rPr>
  </w:style>
  <w:style w:type="paragraph" w:customStyle="1" w:styleId="References">
    <w:name w:val="References"/>
    <w:basedOn w:val="Normal"/>
    <w:uiPriority w:val="99"/>
    <w:rsid w:val="008D1694"/>
    <w:pPr>
      <w:numPr>
        <w:numId w:val="10"/>
      </w:numPr>
      <w:spacing w:after="120"/>
    </w:pPr>
  </w:style>
  <w:style w:type="paragraph" w:customStyle="1" w:styleId="AppendixHeading1">
    <w:name w:val="Appendix Heading 1"/>
    <w:basedOn w:val="Normal"/>
    <w:next w:val="BodyText"/>
    <w:uiPriority w:val="99"/>
    <w:rsid w:val="008D1694"/>
    <w:pPr>
      <w:numPr>
        <w:numId w:val="5"/>
      </w:numPr>
      <w:spacing w:before="120" w:after="120"/>
    </w:pPr>
    <w:rPr>
      <w:b/>
      <w:bCs/>
      <w:caps/>
      <w:sz w:val="24"/>
      <w:szCs w:val="24"/>
    </w:rPr>
  </w:style>
  <w:style w:type="paragraph" w:customStyle="1" w:styleId="AppendixHeading2">
    <w:name w:val="Appendix Heading 2"/>
    <w:basedOn w:val="Normal"/>
    <w:next w:val="BodyText"/>
    <w:uiPriority w:val="99"/>
    <w:rsid w:val="008D1694"/>
    <w:pPr>
      <w:numPr>
        <w:ilvl w:val="1"/>
        <w:numId w:val="5"/>
      </w:numPr>
      <w:spacing w:before="120" w:after="120"/>
    </w:pPr>
    <w:rPr>
      <w:b/>
      <w:bCs/>
    </w:rPr>
  </w:style>
  <w:style w:type="paragraph" w:customStyle="1" w:styleId="AppendixHeading3">
    <w:name w:val="Appendix Heading 3"/>
    <w:basedOn w:val="Normal"/>
    <w:next w:val="Normal"/>
    <w:uiPriority w:val="99"/>
    <w:rsid w:val="008D1694"/>
    <w:pPr>
      <w:numPr>
        <w:ilvl w:val="2"/>
        <w:numId w:val="5"/>
      </w:numPr>
      <w:spacing w:before="120" w:after="120"/>
    </w:pPr>
  </w:style>
  <w:style w:type="paragraph" w:customStyle="1" w:styleId="AppendixHeading4">
    <w:name w:val="Appendix Heading 4"/>
    <w:basedOn w:val="Normal"/>
    <w:next w:val="BodyText"/>
    <w:uiPriority w:val="99"/>
    <w:rsid w:val="008D1694"/>
    <w:pPr>
      <w:numPr>
        <w:ilvl w:val="3"/>
        <w:numId w:val="5"/>
      </w:numPr>
      <w:spacing w:before="120" w:after="120"/>
    </w:p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eastAsia="Times New Roman"/>
      <w:lang w:eastAsia="en-US"/>
    </w:rPr>
  </w:style>
  <w:style w:type="table" w:styleId="TableGrid">
    <w:name w:val="Table Grid"/>
    <w:basedOn w:val="TableNormal"/>
    <w:uiPriority w:val="99"/>
    <w:rsid w:val="00783FEA"/>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uiPriority w:val="99"/>
    <w:rsid w:val="002E6FCA"/>
    <w:pPr>
      <w:numPr>
        <w:numId w:val="17"/>
      </w:numPr>
      <w:spacing w:before="120" w:after="240"/>
      <w:ind w:left="1985" w:hanging="1985"/>
    </w:pPr>
    <w:rPr>
      <w:b/>
      <w:bCs/>
      <w:sz w:val="24"/>
      <w:szCs w:val="24"/>
      <w:lang w:eastAsia="en-US"/>
    </w:rPr>
  </w:style>
  <w:style w:type="paragraph" w:styleId="BalloonText">
    <w:name w:val="Balloon Text"/>
    <w:basedOn w:val="Normal"/>
    <w:link w:val="BalloonTextChar"/>
    <w:uiPriority w:val="99"/>
    <w:semiHidden/>
    <w:rsid w:val="008A356F"/>
    <w:rPr>
      <w:rFonts w:ascii="Tahoma" w:hAnsi="Tahoma" w:cs="Tahoma"/>
      <w:sz w:val="16"/>
      <w:szCs w:val="16"/>
    </w:rPr>
  </w:style>
  <w:style w:type="character" w:customStyle="1" w:styleId="BalloonTextChar">
    <w:name w:val="Balloon Text Char"/>
    <w:link w:val="BalloonText"/>
    <w:uiPriority w:val="99"/>
    <w:semiHidden/>
    <w:locked/>
    <w:rsid w:val="008A356F"/>
    <w:rPr>
      <w:rFonts w:ascii="Tahoma" w:hAnsi="Tahoma" w:cs="Tahoma"/>
      <w:sz w:val="16"/>
      <w:szCs w:val="16"/>
    </w:rPr>
  </w:style>
  <w:style w:type="paragraph" w:styleId="ListParagraph">
    <w:name w:val="List Paragraph"/>
    <w:basedOn w:val="Normal"/>
    <w:uiPriority w:val="34"/>
    <w:qFormat/>
    <w:rsid w:val="00420A38"/>
    <w:pPr>
      <w:ind w:left="720"/>
    </w:pPr>
  </w:style>
  <w:style w:type="character" w:styleId="CommentReference">
    <w:name w:val="annotation reference"/>
    <w:uiPriority w:val="99"/>
    <w:semiHidden/>
    <w:rsid w:val="00EA5A97"/>
    <w:rPr>
      <w:sz w:val="16"/>
      <w:szCs w:val="16"/>
    </w:rPr>
  </w:style>
  <w:style w:type="paragraph" w:styleId="CommentText">
    <w:name w:val="annotation text"/>
    <w:basedOn w:val="Normal"/>
    <w:link w:val="CommentTextChar"/>
    <w:uiPriority w:val="99"/>
    <w:semiHidden/>
    <w:rsid w:val="00EA5A97"/>
    <w:rPr>
      <w:sz w:val="20"/>
      <w:szCs w:val="20"/>
    </w:rPr>
  </w:style>
  <w:style w:type="character" w:customStyle="1" w:styleId="CommentTextChar">
    <w:name w:val="Comment Text Char"/>
    <w:link w:val="CommentText"/>
    <w:uiPriority w:val="99"/>
    <w:semiHidden/>
    <w:locked/>
    <w:rsid w:val="00EA5A97"/>
    <w:rPr>
      <w:rFonts w:ascii="Arial" w:hAnsi="Arial" w:cs="Arial"/>
    </w:rPr>
  </w:style>
  <w:style w:type="paragraph" w:styleId="CommentSubject">
    <w:name w:val="annotation subject"/>
    <w:basedOn w:val="CommentText"/>
    <w:next w:val="CommentText"/>
    <w:link w:val="CommentSubjectChar"/>
    <w:uiPriority w:val="99"/>
    <w:semiHidden/>
    <w:rsid w:val="00EA5A97"/>
    <w:rPr>
      <w:b/>
      <w:bCs/>
    </w:rPr>
  </w:style>
  <w:style w:type="character" w:customStyle="1" w:styleId="CommentSubjectChar">
    <w:name w:val="Comment Subject Char"/>
    <w:link w:val="CommentSubject"/>
    <w:uiPriority w:val="99"/>
    <w:semiHidden/>
    <w:locked/>
    <w:rsid w:val="00EA5A97"/>
    <w:rPr>
      <w:rFonts w:ascii="Arial" w:hAnsi="Arial" w:cs="Arial"/>
      <w:b/>
      <w:bCs/>
    </w:rPr>
  </w:style>
  <w:style w:type="paragraph" w:customStyle="1" w:styleId="Default">
    <w:name w:val="Default"/>
    <w:uiPriority w:val="99"/>
    <w:rsid w:val="00F77608"/>
    <w:pPr>
      <w:autoSpaceDE w:val="0"/>
      <w:autoSpaceDN w:val="0"/>
      <w:adjustRightInd w:val="0"/>
    </w:pPr>
    <w:rPr>
      <w:rFonts w:ascii="Arial" w:hAnsi="Arial" w:cs="Arial"/>
      <w:color w:val="000000"/>
      <w:sz w:val="24"/>
      <w:szCs w:val="24"/>
      <w:lang w:val="fr-FR" w:eastAsia="fr-FR"/>
    </w:rPr>
  </w:style>
  <w:style w:type="numbering" w:styleId="ArticleSection">
    <w:name w:val="Outline List 3"/>
    <w:basedOn w:val="NoList"/>
    <w:uiPriority w:val="99"/>
    <w:semiHidden/>
    <w:unhideWhenUsed/>
    <w:locked/>
    <w:rsid w:val="00752EFC"/>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eupatentsmatter.com/unitary-patents-brie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3A71A-4227-42C6-B2A3-5448F7E7A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887</Words>
  <Characters>5057</Characters>
  <Application>Microsoft Office Word</Application>
  <DocSecurity>0</DocSecurity>
  <Lines>42</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6</cp:revision>
  <cp:lastPrinted>2017-05-10T10:17:00Z</cp:lastPrinted>
  <dcterms:created xsi:type="dcterms:W3CDTF">2017-04-03T12:25:00Z</dcterms:created>
  <dcterms:modified xsi:type="dcterms:W3CDTF">2017-08-25T09:30:00Z</dcterms:modified>
</cp:coreProperties>
</file>